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4E7" w14:textId="77777777" w:rsidR="005B65F5" w:rsidRPr="00C01704" w:rsidRDefault="005B65F5" w:rsidP="00C01704">
      <w:pPr>
        <w:pStyle w:val="Ttulo1"/>
        <w:spacing w:before="0" w:after="0" w:line="240" w:lineRule="auto"/>
        <w:rPr>
          <w:rFonts w:ascii="Gadugi" w:hAnsi="Gadugi"/>
          <w:color w:val="3A7C22" w:themeColor="accent6" w:themeShade="BF"/>
          <w:sz w:val="18"/>
          <w:szCs w:val="18"/>
        </w:rPr>
      </w:pPr>
    </w:p>
    <w:p w14:paraId="5D4205BB" w14:textId="3C95F452" w:rsidR="008E42C8" w:rsidRPr="003B3C75" w:rsidRDefault="00AE0616" w:rsidP="003B3C75">
      <w:pPr>
        <w:pStyle w:val="Ttulo1"/>
        <w:spacing w:before="0" w:after="0" w:line="240" w:lineRule="auto"/>
        <w:jc w:val="center"/>
        <w:rPr>
          <w:rFonts w:ascii="Gadugi" w:hAnsi="Gadugi"/>
          <w:color w:val="3A7C22" w:themeColor="accent6" w:themeShade="BF"/>
          <w:sz w:val="18"/>
          <w:szCs w:val="18"/>
        </w:rPr>
      </w:pPr>
      <w:r w:rsidRPr="00C01704">
        <w:rPr>
          <w:rFonts w:ascii="Gadugi" w:hAnsi="Gadugi"/>
          <w:color w:val="3A7C22" w:themeColor="accent6" w:themeShade="BF"/>
          <w:sz w:val="18"/>
          <w:szCs w:val="18"/>
        </w:rPr>
        <w:t>Creciendo sin perder el Alma</w:t>
      </w:r>
      <w:r w:rsidR="00C01704" w:rsidRPr="00C01704">
        <w:rPr>
          <w:rFonts w:ascii="Gadugi" w:hAnsi="Gadugi"/>
          <w:color w:val="3A7C22" w:themeColor="accent6" w:themeShade="BF"/>
          <w:sz w:val="18"/>
          <w:szCs w:val="18"/>
        </w:rPr>
        <w:t xml:space="preserve">: </w:t>
      </w:r>
      <w:r w:rsidR="0062460F" w:rsidRPr="00C01704">
        <w:rPr>
          <w:rFonts w:ascii="Gadugi" w:hAnsi="Gadugi"/>
          <w:b/>
          <w:bCs/>
          <w:color w:val="3A7C22" w:themeColor="accent6" w:themeShade="BF"/>
          <w:sz w:val="18"/>
          <w:szCs w:val="18"/>
        </w:rPr>
        <w:t>Transformación organizativa adaptativa en una organización compleja centrada en las personas</w:t>
      </w:r>
      <w:r w:rsidR="003B3C75">
        <w:rPr>
          <w:rFonts w:ascii="Gadugi" w:hAnsi="Gadugi"/>
          <w:b/>
          <w:bCs/>
          <w:color w:val="3A7C22" w:themeColor="accent6" w:themeShade="BF"/>
          <w:sz w:val="18"/>
          <w:szCs w:val="18"/>
        </w:rPr>
        <w:t xml:space="preserve">. </w:t>
      </w:r>
      <w:r w:rsidR="0062460F" w:rsidRPr="00C01704">
        <w:rPr>
          <w:rFonts w:ascii="Gadugi" w:hAnsi="Gadugi"/>
          <w:iCs/>
          <w:sz w:val="18"/>
          <w:szCs w:val="18"/>
        </w:rPr>
        <w:t>Esta práctica está encuadrada en la categoría “Organizaciones que aprenden y se redefinen”.</w:t>
      </w:r>
    </w:p>
    <w:p w14:paraId="51E34B40" w14:textId="77777777" w:rsidR="00AE0616" w:rsidRPr="00C01704" w:rsidRDefault="00AE0616" w:rsidP="00AE0616">
      <w:pPr>
        <w:spacing w:after="0" w:line="240" w:lineRule="auto"/>
        <w:jc w:val="both"/>
        <w:rPr>
          <w:rFonts w:ascii="Gadugi" w:hAnsi="Gadugi"/>
          <w:sz w:val="18"/>
          <w:szCs w:val="18"/>
        </w:rPr>
      </w:pPr>
    </w:p>
    <w:p w14:paraId="48318CFF" w14:textId="29C59664"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APANATE presenta una práctica de transformación organizativa que no puede comprenderse adecuadamente como una simple reorganización estructural. La entidad afrontaba un reto característico </w:t>
      </w:r>
      <w:r w:rsidR="005F12F4">
        <w:rPr>
          <w:rFonts w:ascii="Gadugi" w:hAnsi="Gadugi"/>
          <w:sz w:val="18"/>
          <w:szCs w:val="18"/>
        </w:rPr>
        <w:t>en esta serie de asociaciones</w:t>
      </w:r>
      <w:r w:rsidRPr="00C01704">
        <w:rPr>
          <w:rFonts w:ascii="Gadugi" w:hAnsi="Gadugi"/>
          <w:sz w:val="18"/>
          <w:szCs w:val="18"/>
        </w:rPr>
        <w:t>: un crecimiento relevante en plazas</w:t>
      </w:r>
      <w:r w:rsidR="005F12F4">
        <w:rPr>
          <w:rFonts w:ascii="Gadugi" w:hAnsi="Gadugi"/>
          <w:sz w:val="18"/>
          <w:szCs w:val="18"/>
        </w:rPr>
        <w:t xml:space="preserve"> y </w:t>
      </w:r>
      <w:r w:rsidRPr="00C01704">
        <w:rPr>
          <w:rFonts w:ascii="Gadugi" w:hAnsi="Gadugi"/>
          <w:sz w:val="18"/>
          <w:szCs w:val="18"/>
        </w:rPr>
        <w:t xml:space="preserve">recursos sin un aumento equivalente de la capacidad organizativa para coordinar, decidir, anticipar tensiones y sostener el propósito en el día a día. </w:t>
      </w:r>
    </w:p>
    <w:p w14:paraId="0351E8A1" w14:textId="77777777" w:rsidR="00C01704" w:rsidRDefault="00C01704" w:rsidP="00AE0616">
      <w:pPr>
        <w:spacing w:after="0" w:line="240" w:lineRule="auto"/>
        <w:jc w:val="both"/>
        <w:rPr>
          <w:rFonts w:ascii="Gadugi" w:hAnsi="Gadugi"/>
          <w:sz w:val="18"/>
          <w:szCs w:val="18"/>
        </w:rPr>
      </w:pPr>
    </w:p>
    <w:p w14:paraId="2FFAEBBA" w14:textId="2BD1E76C"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Desde esta perspectiva, el proceso se abordó como una transformación organizativa de alta complejidad. Esto supuso asumir que no existía una solución cerrada disponible desde el inicio, que la realidad debía explorarse antes de decidir, que las respuestas debían construirse con la organización y no para la organización. El acompañamiento de Valores, como consultora externa especializada, permitió dotar al proceso de método, herramientas y marcos de análisis, pero la práctica fue liderada, validada y sostenida por APANATE en todo momento.</w:t>
      </w:r>
    </w:p>
    <w:p w14:paraId="1BBF9846" w14:textId="77777777" w:rsidR="00AE0616" w:rsidRPr="00C01704" w:rsidRDefault="00AE0616" w:rsidP="00AE0616">
      <w:pPr>
        <w:spacing w:after="0" w:line="240" w:lineRule="auto"/>
        <w:jc w:val="both"/>
        <w:rPr>
          <w:rFonts w:ascii="Gadugi" w:hAnsi="Gadugi"/>
          <w:sz w:val="18"/>
          <w:szCs w:val="18"/>
        </w:rPr>
      </w:pPr>
    </w:p>
    <w:p w14:paraId="48321749" w14:textId="2EA7F7BF"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Esta lectura adquiere hoy una relevancia especial si se considera que las organizaciones sociales operan en entornos marcados simultáneamente por dinámicas VUCA </w:t>
      </w:r>
      <w:r w:rsidR="00185D6C" w:rsidRPr="00C01704">
        <w:rPr>
          <w:rFonts w:ascii="Gadugi" w:hAnsi="Gadugi"/>
          <w:sz w:val="18"/>
          <w:szCs w:val="18"/>
        </w:rPr>
        <w:t>(</w:t>
      </w:r>
      <w:r w:rsidRPr="00C01704">
        <w:rPr>
          <w:rFonts w:ascii="Gadugi" w:hAnsi="Gadugi"/>
          <w:sz w:val="18"/>
          <w:szCs w:val="18"/>
        </w:rPr>
        <w:t>volatil, inc</w:t>
      </w:r>
      <w:r w:rsidR="00185D6C" w:rsidRPr="00C01704">
        <w:rPr>
          <w:rFonts w:ascii="Gadugi" w:hAnsi="Gadugi"/>
          <w:sz w:val="18"/>
          <w:szCs w:val="18"/>
        </w:rPr>
        <w:t>ierto</w:t>
      </w:r>
      <w:r w:rsidRPr="00C01704">
        <w:rPr>
          <w:rFonts w:ascii="Gadugi" w:hAnsi="Gadugi"/>
          <w:sz w:val="18"/>
          <w:szCs w:val="18"/>
        </w:rPr>
        <w:t>, complej</w:t>
      </w:r>
      <w:r w:rsidR="00185D6C" w:rsidRPr="00C01704">
        <w:rPr>
          <w:rFonts w:ascii="Gadugi" w:hAnsi="Gadugi"/>
          <w:sz w:val="18"/>
          <w:szCs w:val="18"/>
        </w:rPr>
        <w:t>o</w:t>
      </w:r>
      <w:r w:rsidRPr="00C01704">
        <w:rPr>
          <w:rFonts w:ascii="Gadugi" w:hAnsi="Gadugi"/>
          <w:sz w:val="18"/>
          <w:szCs w:val="18"/>
        </w:rPr>
        <w:t xml:space="preserve"> y ambigü</w:t>
      </w:r>
      <w:r w:rsidR="00185D6C" w:rsidRPr="00C01704">
        <w:rPr>
          <w:rFonts w:ascii="Gadugi" w:hAnsi="Gadugi"/>
          <w:sz w:val="18"/>
          <w:szCs w:val="18"/>
        </w:rPr>
        <w:t>o)</w:t>
      </w:r>
      <w:r w:rsidR="00AE0616" w:rsidRPr="00C01704">
        <w:rPr>
          <w:rFonts w:ascii="Gadugi" w:hAnsi="Gadugi"/>
          <w:sz w:val="18"/>
          <w:szCs w:val="18"/>
        </w:rPr>
        <w:t xml:space="preserve"> </w:t>
      </w:r>
      <w:r w:rsidRPr="00C01704">
        <w:rPr>
          <w:rFonts w:ascii="Gadugi" w:hAnsi="Gadugi"/>
          <w:sz w:val="18"/>
          <w:szCs w:val="18"/>
        </w:rPr>
        <w:t xml:space="preserve">y, cada vez más, por rasgos BANI </w:t>
      </w:r>
      <w:r w:rsidR="00185D6C" w:rsidRPr="00C01704">
        <w:rPr>
          <w:rFonts w:ascii="Gadugi" w:hAnsi="Gadugi"/>
          <w:sz w:val="18"/>
          <w:szCs w:val="18"/>
        </w:rPr>
        <w:t>(</w:t>
      </w:r>
      <w:r w:rsidRPr="00C01704">
        <w:rPr>
          <w:rFonts w:ascii="Gadugi" w:hAnsi="Gadugi"/>
          <w:sz w:val="18"/>
          <w:szCs w:val="18"/>
        </w:rPr>
        <w:t>fragil, ansi</w:t>
      </w:r>
      <w:r w:rsidR="00185D6C" w:rsidRPr="00C01704">
        <w:rPr>
          <w:rFonts w:ascii="Gadugi" w:hAnsi="Gadugi"/>
          <w:sz w:val="18"/>
          <w:szCs w:val="18"/>
        </w:rPr>
        <w:t>oso</w:t>
      </w:r>
      <w:r w:rsidRPr="00C01704">
        <w:rPr>
          <w:rFonts w:ascii="Gadugi" w:hAnsi="Gadugi"/>
          <w:sz w:val="18"/>
          <w:szCs w:val="18"/>
        </w:rPr>
        <w:t>, no lineal e incomprensib</w:t>
      </w:r>
      <w:r w:rsidR="00185D6C" w:rsidRPr="00C01704">
        <w:rPr>
          <w:rFonts w:ascii="Gadugi" w:hAnsi="Gadugi"/>
          <w:sz w:val="18"/>
          <w:szCs w:val="18"/>
        </w:rPr>
        <w:t>le</w:t>
      </w:r>
      <w:r w:rsidRPr="00C01704">
        <w:rPr>
          <w:rFonts w:ascii="Gadugi" w:hAnsi="Gadugi"/>
          <w:sz w:val="18"/>
          <w:szCs w:val="18"/>
        </w:rPr>
        <w:t xml:space="preserve">. En contextos de este tipo no basta con mejorar la planificación o reforzar el control; resulta imprescindible aumentar la capacidad de lectura del contexto, la flexibilidad organizativa, la calidad de la coordinación y la rapidez para aprender y reajustar sin perder propósito. </w:t>
      </w:r>
    </w:p>
    <w:p w14:paraId="71563F36" w14:textId="77777777" w:rsidR="00185D6C" w:rsidRPr="00C01704" w:rsidRDefault="00185D6C" w:rsidP="00AE0616">
      <w:pPr>
        <w:spacing w:after="0" w:line="240" w:lineRule="auto"/>
        <w:jc w:val="both"/>
        <w:rPr>
          <w:rFonts w:ascii="Gadugi" w:hAnsi="Gadugi"/>
          <w:sz w:val="18"/>
          <w:szCs w:val="18"/>
        </w:rPr>
      </w:pPr>
    </w:p>
    <w:p w14:paraId="44B427C2" w14:textId="7A217A1A"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En organizaciones complejas capaces de producir calidad de vida e impacto social, este tipo de transformaciones suele presentar al menos las siguientes características:</w:t>
      </w:r>
    </w:p>
    <w:p w14:paraId="3E3D933E" w14:textId="77777777" w:rsidR="00185D6C" w:rsidRPr="00C01704" w:rsidRDefault="00185D6C" w:rsidP="00AE0616">
      <w:pPr>
        <w:spacing w:after="0" w:line="240" w:lineRule="auto"/>
        <w:jc w:val="both"/>
        <w:rPr>
          <w:rFonts w:ascii="Gadugi" w:hAnsi="Gadugi"/>
          <w:sz w:val="18"/>
          <w:szCs w:val="18"/>
        </w:rPr>
      </w:pPr>
    </w:p>
    <w:p w14:paraId="4E6607F4"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Alta interdependencia entre personas, familias, profesionales, equipos, servicios y órganos de gobierno.</w:t>
      </w:r>
    </w:p>
    <w:p w14:paraId="3B4C0A9C"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Imposibilidad de anticipar por completo la solución desde el inicio, lo que exige exploración, contraste y aprendizaje.</w:t>
      </w:r>
    </w:p>
    <w:p w14:paraId="6F3FDCE2"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Necesidad de combinar dirección clara con capacidad de adaptación, evitando tanto la rigidez como la improvisación.</w:t>
      </w:r>
    </w:p>
    <w:p w14:paraId="0009BE9F"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Peso decisivo del contexto, ya que los resultados dependen de cómo interactúan estructura, cultura, procesos, liderazgo y entorno.</w:t>
      </w:r>
    </w:p>
    <w:p w14:paraId="10E27843"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Importancia de la participación estructurada y de la inteligencia colectiva para generar legitimidad y calidad técnica al mismo tiempo.</w:t>
      </w:r>
    </w:p>
    <w:p w14:paraId="5B2C530B"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Necesidad de una gobernanza adaptativa capaz de detectar tensiones, priorizar, decidir y revisar antes de que los problemas se conviertan en urgencia.</w:t>
      </w:r>
    </w:p>
    <w:p w14:paraId="4E7AB70A"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Exposición simultánea a condiciones VUCA y BANI, que obligan a combinar estabilidad de propósito con flexibilidad estructural, capacidad de anticipación y aprendizaje continuo.</w:t>
      </w:r>
    </w:p>
    <w:p w14:paraId="54CCCD6D" w14:textId="77777777" w:rsidR="00634850" w:rsidRPr="00C01704" w:rsidRDefault="00634850" w:rsidP="00185D6C">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Orientación final a resultados de valor humano: mejor continuidad de apoyos, mayor calidad de vida y mayor capacidad para generar impacto social sostenible.</w:t>
      </w:r>
    </w:p>
    <w:p w14:paraId="3B96E962" w14:textId="77777777" w:rsidR="00185D6C" w:rsidRPr="00C01704" w:rsidRDefault="00185D6C" w:rsidP="00AE0616">
      <w:pPr>
        <w:spacing w:after="0" w:line="240" w:lineRule="auto"/>
        <w:jc w:val="both"/>
        <w:rPr>
          <w:rFonts w:ascii="Gadugi" w:hAnsi="Gadugi"/>
          <w:sz w:val="18"/>
          <w:szCs w:val="18"/>
        </w:rPr>
      </w:pPr>
    </w:p>
    <w:p w14:paraId="1183FE6E" w14:textId="77777777" w:rsidR="00185D6C" w:rsidRPr="00C01704" w:rsidRDefault="00185D6C" w:rsidP="00AE0616">
      <w:pPr>
        <w:spacing w:after="0" w:line="240" w:lineRule="auto"/>
        <w:jc w:val="both"/>
        <w:rPr>
          <w:rFonts w:ascii="Gadugi" w:hAnsi="Gadugi"/>
          <w:sz w:val="18"/>
          <w:szCs w:val="18"/>
        </w:rPr>
      </w:pPr>
    </w:p>
    <w:p w14:paraId="4CAD047F" w14:textId="77777777" w:rsidR="00857C65"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El resultado principal no es únicamente el diseño de un nuevo sistema organizativo. El logro más relevante es el incremento de la capacidad adaptativa de APANATE: más claridad sobre quién decide qué, mayor coherencia entre propósito y funcionamiento, mejores condiciones para la coordinación entre apoyos, más legitimidad interna del cambio y mecanismos estables para aprender antes de que las tensiones se conviertan en urgencia. </w:t>
      </w:r>
    </w:p>
    <w:p w14:paraId="1F017216" w14:textId="77777777" w:rsidR="00857C65" w:rsidRPr="00C01704" w:rsidRDefault="00857C65" w:rsidP="00AE0616">
      <w:pPr>
        <w:spacing w:after="0" w:line="240" w:lineRule="auto"/>
        <w:jc w:val="both"/>
        <w:rPr>
          <w:rFonts w:ascii="Gadugi" w:hAnsi="Gadugi"/>
          <w:sz w:val="18"/>
          <w:szCs w:val="18"/>
        </w:rPr>
      </w:pPr>
    </w:p>
    <w:p w14:paraId="4FF1C3C9" w14:textId="3E432EA7" w:rsidR="00634850" w:rsidRDefault="00634850" w:rsidP="00AE0616">
      <w:pPr>
        <w:spacing w:after="0" w:line="240" w:lineRule="auto"/>
        <w:jc w:val="both"/>
        <w:rPr>
          <w:rFonts w:ascii="Gadugi" w:hAnsi="Gadugi"/>
          <w:b/>
          <w:bCs/>
          <w:i/>
          <w:iCs/>
          <w:sz w:val="18"/>
          <w:szCs w:val="18"/>
        </w:rPr>
      </w:pPr>
      <w:r w:rsidRPr="00C01704">
        <w:rPr>
          <w:rFonts w:ascii="Gadugi" w:hAnsi="Gadugi"/>
          <w:b/>
          <w:bCs/>
          <w:i/>
          <w:iCs/>
          <w:sz w:val="18"/>
          <w:szCs w:val="18"/>
        </w:rPr>
        <w:t xml:space="preserve">En </w:t>
      </w:r>
      <w:r w:rsidR="00F91ECD" w:rsidRPr="00C01704">
        <w:rPr>
          <w:rFonts w:ascii="Gadugi" w:hAnsi="Gadugi"/>
          <w:b/>
          <w:bCs/>
          <w:i/>
          <w:iCs/>
          <w:sz w:val="18"/>
          <w:szCs w:val="18"/>
        </w:rPr>
        <w:t>definitiva</w:t>
      </w:r>
      <w:r w:rsidRPr="00C01704">
        <w:rPr>
          <w:rFonts w:ascii="Gadugi" w:hAnsi="Gadugi"/>
          <w:b/>
          <w:bCs/>
          <w:i/>
          <w:iCs/>
          <w:sz w:val="18"/>
          <w:szCs w:val="18"/>
        </w:rPr>
        <w:t>, la práctica muestra cómo una organización del tercer sector del autismo puede crecer sin perder el alma cuando transforma su estructura, su cultura y su gobernanza desde una lógica adaptativa y centrada en las personas.</w:t>
      </w:r>
    </w:p>
    <w:p w14:paraId="20AE1CF7" w14:textId="77777777" w:rsidR="00C80C64" w:rsidRDefault="00C80C64" w:rsidP="00AE0616">
      <w:pPr>
        <w:spacing w:after="0" w:line="240" w:lineRule="auto"/>
        <w:jc w:val="both"/>
        <w:rPr>
          <w:rFonts w:ascii="Gadugi" w:hAnsi="Gadugi"/>
          <w:b/>
          <w:bCs/>
          <w:i/>
          <w:iCs/>
          <w:sz w:val="18"/>
          <w:szCs w:val="18"/>
        </w:rPr>
      </w:pPr>
    </w:p>
    <w:p w14:paraId="77491BEB" w14:textId="77777777" w:rsidR="00C80C64" w:rsidRPr="00C01704" w:rsidRDefault="00C80C64" w:rsidP="00AE0616">
      <w:pPr>
        <w:spacing w:after="0" w:line="240" w:lineRule="auto"/>
        <w:jc w:val="both"/>
        <w:rPr>
          <w:rFonts w:ascii="Gadugi" w:hAnsi="Gadugi"/>
          <w:b/>
          <w:bCs/>
          <w:i/>
          <w:iCs/>
          <w:sz w:val="18"/>
          <w:szCs w:val="18"/>
        </w:rPr>
      </w:pPr>
    </w:p>
    <w:p w14:paraId="4A36EE2F" w14:textId="77777777" w:rsidR="00857C65" w:rsidRPr="00C01704" w:rsidRDefault="00857C65" w:rsidP="00AE0616">
      <w:pPr>
        <w:spacing w:after="0" w:line="240" w:lineRule="auto"/>
        <w:jc w:val="both"/>
        <w:rPr>
          <w:rFonts w:ascii="Gadugi" w:hAnsi="Gadugi"/>
          <w:sz w:val="18"/>
          <w:szCs w:val="18"/>
        </w:rPr>
      </w:pPr>
    </w:p>
    <w:p w14:paraId="1C9C3A8C" w14:textId="77777777" w:rsidR="00F91ECD" w:rsidRPr="00C01704" w:rsidRDefault="00F91ECD" w:rsidP="00AE0616">
      <w:pPr>
        <w:pStyle w:val="Ttulo1"/>
        <w:spacing w:before="0" w:after="0" w:line="240" w:lineRule="auto"/>
        <w:jc w:val="both"/>
        <w:rPr>
          <w:rFonts w:ascii="Gadugi" w:hAnsi="Gadugi"/>
          <w:b/>
          <w:bCs/>
          <w:sz w:val="18"/>
          <w:szCs w:val="18"/>
        </w:rPr>
      </w:pPr>
    </w:p>
    <w:p w14:paraId="08F0D329" w14:textId="18EECF87" w:rsidR="00634850" w:rsidRPr="00C01704" w:rsidRDefault="00634850" w:rsidP="00AE0616">
      <w:pPr>
        <w:pStyle w:val="Ttulo1"/>
        <w:spacing w:before="0" w:after="0" w:line="240" w:lineRule="auto"/>
        <w:jc w:val="both"/>
        <w:rPr>
          <w:rFonts w:ascii="Gadugi" w:hAnsi="Gadugi"/>
          <w:b/>
          <w:bCs/>
          <w:sz w:val="18"/>
          <w:szCs w:val="18"/>
        </w:rPr>
      </w:pPr>
      <w:r w:rsidRPr="00C01704">
        <w:rPr>
          <w:rFonts w:ascii="Gadugi" w:hAnsi="Gadugi"/>
          <w:b/>
          <w:bCs/>
          <w:sz w:val="18"/>
          <w:szCs w:val="18"/>
        </w:rPr>
        <w:t>1</w:t>
      </w:r>
      <w:r w:rsidRPr="00C01704">
        <w:rPr>
          <w:rFonts w:ascii="Gadugi" w:hAnsi="Gadugi"/>
          <w:b/>
          <w:bCs/>
          <w:color w:val="auto"/>
          <w:sz w:val="18"/>
          <w:szCs w:val="18"/>
        </w:rPr>
        <w:t>. Objetivos de la práctica</w:t>
      </w:r>
    </w:p>
    <w:p w14:paraId="659960FD" w14:textId="77777777" w:rsidR="00F91ECD" w:rsidRPr="00C01704" w:rsidRDefault="00F91ECD" w:rsidP="00AE0616">
      <w:pPr>
        <w:spacing w:after="0" w:line="240" w:lineRule="auto"/>
        <w:jc w:val="both"/>
        <w:rPr>
          <w:rFonts w:ascii="Gadugi" w:hAnsi="Gadugi"/>
          <w:sz w:val="18"/>
          <w:szCs w:val="18"/>
        </w:rPr>
      </w:pPr>
    </w:p>
    <w:p w14:paraId="19E176E8" w14:textId="4AC1091F"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El objetivo general de la práctica ha sido transformar la estructura y la cultura organizativa de APANATE para que la entidad pueda seguir creciendo de manera sostenible, sin que ese crecimiento recaiga sobre el esfuerzo individual extraordinario de las personas y manteniendo en todo momento el foco en la calidad de vida de las personas con TEA y sus familias. </w:t>
      </w:r>
    </w:p>
    <w:p w14:paraId="32BCFDEC" w14:textId="77777777" w:rsidR="005B65F5" w:rsidRPr="00C01704" w:rsidRDefault="005B65F5" w:rsidP="00AE0616">
      <w:pPr>
        <w:spacing w:after="0" w:line="240" w:lineRule="auto"/>
        <w:jc w:val="both"/>
        <w:rPr>
          <w:rFonts w:ascii="Gadugi" w:hAnsi="Gadugi"/>
          <w:sz w:val="18"/>
          <w:szCs w:val="18"/>
        </w:rPr>
      </w:pPr>
    </w:p>
    <w:p w14:paraId="799B5FCB"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Objetivos específicos:</w:t>
      </w:r>
    </w:p>
    <w:p w14:paraId="42786A89" w14:textId="77777777" w:rsidR="005B65F5" w:rsidRPr="00C01704" w:rsidRDefault="005B65F5" w:rsidP="00AE0616">
      <w:pPr>
        <w:spacing w:after="0" w:line="240" w:lineRule="auto"/>
        <w:jc w:val="both"/>
        <w:rPr>
          <w:rFonts w:ascii="Gadugi" w:hAnsi="Gadugi"/>
          <w:sz w:val="18"/>
          <w:szCs w:val="18"/>
        </w:rPr>
      </w:pPr>
    </w:p>
    <w:p w14:paraId="58B6F3D1" w14:textId="77777777" w:rsidR="00634850" w:rsidRPr="00C01704" w:rsidRDefault="00634850" w:rsidP="005B65F5">
      <w:pPr>
        <w:pStyle w:val="Listaconnmeros"/>
        <w:tabs>
          <w:tab w:val="clear" w:pos="360"/>
          <w:tab w:val="num" w:pos="720"/>
        </w:tabs>
        <w:spacing w:after="0" w:line="240" w:lineRule="auto"/>
        <w:ind w:left="720"/>
        <w:jc w:val="both"/>
        <w:rPr>
          <w:rFonts w:ascii="Gadugi" w:hAnsi="Gadugi"/>
          <w:sz w:val="18"/>
          <w:szCs w:val="18"/>
        </w:rPr>
      </w:pPr>
      <w:r w:rsidRPr="00C01704">
        <w:rPr>
          <w:rFonts w:ascii="Gadugi" w:hAnsi="Gadugi"/>
          <w:sz w:val="18"/>
          <w:szCs w:val="18"/>
        </w:rPr>
        <w:t>Rediseñar el sistema organizativo situando la continuidad de la persona y la familia por encima de la lógica departamental o del crecimiento por acumulación de servicios.</w:t>
      </w:r>
    </w:p>
    <w:p w14:paraId="7DB4898A" w14:textId="77777777" w:rsidR="00634850" w:rsidRPr="00C01704" w:rsidRDefault="00634850" w:rsidP="005B65F5">
      <w:pPr>
        <w:pStyle w:val="Listaconnmeros"/>
        <w:tabs>
          <w:tab w:val="clear" w:pos="360"/>
          <w:tab w:val="num" w:pos="720"/>
        </w:tabs>
        <w:spacing w:after="0" w:line="240" w:lineRule="auto"/>
        <w:ind w:left="720"/>
        <w:jc w:val="both"/>
        <w:rPr>
          <w:rFonts w:ascii="Gadugi" w:hAnsi="Gadugi"/>
          <w:sz w:val="18"/>
          <w:szCs w:val="18"/>
        </w:rPr>
      </w:pPr>
      <w:r w:rsidRPr="00C01704">
        <w:rPr>
          <w:rFonts w:ascii="Gadugi" w:hAnsi="Gadugi"/>
          <w:sz w:val="18"/>
          <w:szCs w:val="18"/>
        </w:rPr>
        <w:t>Clarificar roles, funciones y circuitos de decisión para reducir sobrecargas, evitar zonas grises de responsabilidad y disminuir la dependencia de compromisos informales no sostenibles en el tiempo.</w:t>
      </w:r>
    </w:p>
    <w:p w14:paraId="120D7390" w14:textId="77777777" w:rsidR="00634850" w:rsidRPr="00C01704" w:rsidRDefault="00634850" w:rsidP="005B65F5">
      <w:pPr>
        <w:pStyle w:val="Listaconnmeros"/>
        <w:tabs>
          <w:tab w:val="clear" w:pos="360"/>
          <w:tab w:val="num" w:pos="720"/>
        </w:tabs>
        <w:spacing w:after="0" w:line="240" w:lineRule="auto"/>
        <w:ind w:left="720"/>
        <w:jc w:val="both"/>
        <w:rPr>
          <w:rFonts w:ascii="Gadugi" w:hAnsi="Gadugi"/>
          <w:sz w:val="18"/>
          <w:szCs w:val="18"/>
        </w:rPr>
      </w:pPr>
      <w:r w:rsidRPr="00C01704">
        <w:rPr>
          <w:rFonts w:ascii="Gadugi" w:hAnsi="Gadugi"/>
          <w:sz w:val="18"/>
          <w:szCs w:val="18"/>
        </w:rPr>
        <w:t>Construir el nuevo modelo con y desde la organización, generando estructuras de participación real capaces de transformar la posición de los profesionales: de receptores del cambio a protagonistas de la propuesta y de su despliegue.</w:t>
      </w:r>
    </w:p>
    <w:p w14:paraId="29171B87" w14:textId="77777777" w:rsidR="00634850" w:rsidRPr="00C01704" w:rsidRDefault="00634850" w:rsidP="005B65F5">
      <w:pPr>
        <w:pStyle w:val="Listaconnmeros"/>
        <w:tabs>
          <w:tab w:val="clear" w:pos="360"/>
          <w:tab w:val="num" w:pos="720"/>
        </w:tabs>
        <w:spacing w:after="0" w:line="240" w:lineRule="auto"/>
        <w:ind w:left="720"/>
        <w:jc w:val="both"/>
        <w:rPr>
          <w:rFonts w:ascii="Gadugi" w:hAnsi="Gadugi"/>
          <w:sz w:val="18"/>
          <w:szCs w:val="18"/>
        </w:rPr>
      </w:pPr>
      <w:r w:rsidRPr="00C01704">
        <w:rPr>
          <w:rFonts w:ascii="Gadugi" w:hAnsi="Gadugi"/>
          <w:sz w:val="18"/>
          <w:szCs w:val="18"/>
        </w:rPr>
        <w:t>Fortalecer la coherencia entre propósito, misión, valores y funcionamiento real, garantizando que la estructura se ponga al servicio del proyecto institucional y no a la inversa.</w:t>
      </w:r>
    </w:p>
    <w:p w14:paraId="7687D711" w14:textId="77777777" w:rsidR="00634850" w:rsidRPr="00C01704" w:rsidRDefault="00634850" w:rsidP="005B65F5">
      <w:pPr>
        <w:pStyle w:val="Listaconnmeros"/>
        <w:tabs>
          <w:tab w:val="clear" w:pos="360"/>
          <w:tab w:val="num" w:pos="720"/>
        </w:tabs>
        <w:spacing w:after="0" w:line="240" w:lineRule="auto"/>
        <w:ind w:left="720"/>
        <w:jc w:val="both"/>
        <w:rPr>
          <w:rFonts w:ascii="Gadugi" w:hAnsi="Gadugi"/>
          <w:sz w:val="18"/>
          <w:szCs w:val="18"/>
        </w:rPr>
      </w:pPr>
      <w:r w:rsidRPr="00C01704">
        <w:rPr>
          <w:rFonts w:ascii="Gadugi" w:hAnsi="Gadugi"/>
          <w:sz w:val="18"/>
          <w:szCs w:val="18"/>
        </w:rPr>
        <w:t>Incorporar mecanismos estables de gobierno, seguimiento y evaluación que permitan detectar tensiones, aprender de la práctica y autocorregirse antes de que los problemas escalen en forma de bloqueo, urgencia o desgaste.</w:t>
      </w:r>
    </w:p>
    <w:p w14:paraId="1D3E1089" w14:textId="77777777" w:rsidR="00CF0E3D" w:rsidRPr="00C01704" w:rsidRDefault="00CF0E3D" w:rsidP="00AE0616">
      <w:pPr>
        <w:pStyle w:val="Ttulo1"/>
        <w:spacing w:before="0" w:after="0" w:line="240" w:lineRule="auto"/>
        <w:jc w:val="both"/>
        <w:rPr>
          <w:rFonts w:ascii="Gadugi" w:hAnsi="Gadugi"/>
          <w:sz w:val="18"/>
          <w:szCs w:val="18"/>
        </w:rPr>
      </w:pPr>
    </w:p>
    <w:p w14:paraId="54529CE3" w14:textId="7F7A989F" w:rsidR="00634850" w:rsidRPr="00C01704" w:rsidRDefault="00634850" w:rsidP="00AE0616">
      <w:pPr>
        <w:pStyle w:val="Ttulo1"/>
        <w:spacing w:before="0" w:after="0" w:line="240" w:lineRule="auto"/>
        <w:jc w:val="both"/>
        <w:rPr>
          <w:rFonts w:ascii="Gadugi" w:hAnsi="Gadugi"/>
          <w:b/>
          <w:bCs/>
          <w:color w:val="auto"/>
          <w:sz w:val="18"/>
          <w:szCs w:val="18"/>
        </w:rPr>
      </w:pPr>
      <w:r w:rsidRPr="00C01704">
        <w:rPr>
          <w:rFonts w:ascii="Gadugi" w:hAnsi="Gadugi"/>
          <w:b/>
          <w:bCs/>
          <w:color w:val="auto"/>
          <w:sz w:val="18"/>
          <w:szCs w:val="18"/>
        </w:rPr>
        <w:t>2. Desarrollo de la práctica</w:t>
      </w:r>
    </w:p>
    <w:p w14:paraId="272FF9F1" w14:textId="77777777" w:rsidR="00CF0E3D" w:rsidRPr="00C01704" w:rsidRDefault="00CF0E3D" w:rsidP="00AE0616">
      <w:pPr>
        <w:spacing w:after="0" w:line="240" w:lineRule="auto"/>
        <w:jc w:val="both"/>
        <w:rPr>
          <w:rFonts w:ascii="Gadugi" w:hAnsi="Gadugi"/>
          <w:sz w:val="18"/>
          <w:szCs w:val="18"/>
        </w:rPr>
      </w:pPr>
    </w:p>
    <w:p w14:paraId="00599818" w14:textId="75472D71"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Evidencias documentales disponibles mediante enlace: DAFO 2025, encuestas de trabajadores 2025, informe de resultados del diagnóstico, hoja de ruta y materiales de validación..</w:t>
      </w:r>
    </w:p>
    <w:p w14:paraId="05112CB9" w14:textId="77777777" w:rsidR="00BE31B8" w:rsidRPr="00C01704" w:rsidRDefault="00BE31B8" w:rsidP="00AE0616">
      <w:pPr>
        <w:pStyle w:val="Ttulo2"/>
        <w:spacing w:before="0" w:after="0" w:line="240" w:lineRule="auto"/>
        <w:jc w:val="both"/>
        <w:rPr>
          <w:rFonts w:ascii="Gadugi" w:hAnsi="Gadugi"/>
          <w:sz w:val="18"/>
          <w:szCs w:val="18"/>
        </w:rPr>
      </w:pPr>
    </w:p>
    <w:p w14:paraId="082C8C37" w14:textId="2AB88D4A"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Punto de partida: una necesidad sentida, no una crisis</w:t>
      </w:r>
    </w:p>
    <w:p w14:paraId="0F5EA0D6" w14:textId="77777777" w:rsidR="00BE31B8" w:rsidRPr="00C01704" w:rsidRDefault="00BE31B8" w:rsidP="00AE0616">
      <w:pPr>
        <w:spacing w:after="0" w:line="240" w:lineRule="auto"/>
        <w:jc w:val="both"/>
        <w:rPr>
          <w:rFonts w:ascii="Gadugi" w:hAnsi="Gadugi"/>
          <w:sz w:val="18"/>
          <w:szCs w:val="18"/>
        </w:rPr>
      </w:pPr>
    </w:p>
    <w:p w14:paraId="300BD600" w14:textId="09A6228E"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APANATE es una entidad de familias que lleva más de tres décadas prestando apoyos a personas con TEA a lo largo del ciclo vital. En los últimos cinco años la organización había asumido un crecimiento relevante de plazas concertadas</w:t>
      </w:r>
      <w:r w:rsidR="00C80C64">
        <w:rPr>
          <w:rFonts w:ascii="Gadugi" w:hAnsi="Gadugi"/>
          <w:sz w:val="18"/>
          <w:szCs w:val="18"/>
        </w:rPr>
        <w:t>,</w:t>
      </w:r>
      <w:r w:rsidRPr="00C01704">
        <w:rPr>
          <w:rFonts w:ascii="Gadugi" w:hAnsi="Gadugi"/>
          <w:sz w:val="18"/>
          <w:szCs w:val="18"/>
        </w:rPr>
        <w:t xml:space="preserve"> 85 de Promoción de la Autonomía Personal y 60 de Centro de Día</w:t>
      </w:r>
      <w:r w:rsidR="00C80C64">
        <w:rPr>
          <w:rFonts w:ascii="Gadugi" w:hAnsi="Gadugi"/>
          <w:sz w:val="18"/>
          <w:szCs w:val="18"/>
        </w:rPr>
        <w:t>,</w:t>
      </w:r>
      <w:r w:rsidRPr="00C01704">
        <w:rPr>
          <w:rFonts w:ascii="Gadugi" w:hAnsi="Gadugi"/>
          <w:sz w:val="18"/>
          <w:szCs w:val="18"/>
        </w:rPr>
        <w:t xml:space="preserve"> sin que la estructura hubiese crecido al mismo ritmo. A ello se añadía la próxima apertura de un recurso alojativo, circunstancia que incrementaba la presión sobre un sistema ya exigido. La organización no se encontraba en una situación de crisis ni de deterioro severo del clima laboral; precisamente por eso la transformación se abordó desde una lógica preventiva. APANATE percibió a tiempo las primeras grietas: sobrecarga, riesgos de fragmentación interna</w:t>
      </w:r>
      <w:r w:rsidR="00C80C64">
        <w:rPr>
          <w:rFonts w:ascii="Gadugi" w:hAnsi="Gadugi"/>
          <w:sz w:val="18"/>
          <w:szCs w:val="18"/>
        </w:rPr>
        <w:t xml:space="preserve"> y </w:t>
      </w:r>
      <w:r w:rsidRPr="00C01704">
        <w:rPr>
          <w:rFonts w:ascii="Gadugi" w:hAnsi="Gadugi"/>
          <w:sz w:val="18"/>
          <w:szCs w:val="18"/>
        </w:rPr>
        <w:t>dificultad para sostener la coordinación</w:t>
      </w:r>
      <w:r w:rsidR="00C80C64">
        <w:rPr>
          <w:rFonts w:ascii="Gadugi" w:hAnsi="Gadugi"/>
          <w:sz w:val="18"/>
          <w:szCs w:val="18"/>
        </w:rPr>
        <w:t>.</w:t>
      </w:r>
    </w:p>
    <w:p w14:paraId="6F338196" w14:textId="77777777" w:rsidR="00BE31B8" w:rsidRPr="00C01704" w:rsidRDefault="00BE31B8" w:rsidP="00AE0616">
      <w:pPr>
        <w:spacing w:after="0" w:line="240" w:lineRule="auto"/>
        <w:jc w:val="both"/>
        <w:rPr>
          <w:rFonts w:ascii="Gadugi" w:hAnsi="Gadugi"/>
          <w:sz w:val="18"/>
          <w:szCs w:val="18"/>
        </w:rPr>
      </w:pPr>
    </w:p>
    <w:p w14:paraId="511D92CF" w14:textId="78FD4F24"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Este punto de partida es importante porque sitúa la práctica en el lugar adecuado. La organización no reaccionó a un colapso, sino que interpretó señales débiles del sistema y decidió intervenir antes de que se convirtieran en síntomas graves. L</w:t>
      </w:r>
      <w:r w:rsidR="000037C3" w:rsidRPr="00C01704">
        <w:rPr>
          <w:rFonts w:ascii="Gadugi" w:hAnsi="Gadugi"/>
          <w:sz w:val="18"/>
          <w:szCs w:val="18"/>
        </w:rPr>
        <w:t>os resultados de medición de satisfacción</w:t>
      </w:r>
      <w:r w:rsidRPr="00C01704">
        <w:rPr>
          <w:rFonts w:ascii="Gadugi" w:hAnsi="Gadugi"/>
          <w:sz w:val="18"/>
          <w:szCs w:val="18"/>
        </w:rPr>
        <w:t xml:space="preserve">, </w:t>
      </w:r>
      <w:r w:rsidR="000037C3" w:rsidRPr="00C01704">
        <w:rPr>
          <w:rFonts w:ascii="Gadugi" w:hAnsi="Gadugi"/>
          <w:sz w:val="18"/>
          <w:szCs w:val="18"/>
        </w:rPr>
        <w:t>la evaluación de contexto yd e riesgos (</w:t>
      </w:r>
      <w:r w:rsidRPr="00C01704">
        <w:rPr>
          <w:rFonts w:ascii="Gadugi" w:hAnsi="Gadugi"/>
          <w:sz w:val="18"/>
          <w:szCs w:val="18"/>
        </w:rPr>
        <w:t>DAFO</w:t>
      </w:r>
      <w:r w:rsidR="000037C3" w:rsidRPr="00C01704">
        <w:rPr>
          <w:rFonts w:ascii="Gadugi" w:hAnsi="Gadugi"/>
          <w:sz w:val="18"/>
          <w:szCs w:val="18"/>
        </w:rPr>
        <w:t>)</w:t>
      </w:r>
      <w:r w:rsidRPr="00C01704">
        <w:rPr>
          <w:rFonts w:ascii="Gadugi" w:hAnsi="Gadugi"/>
          <w:sz w:val="18"/>
          <w:szCs w:val="18"/>
        </w:rPr>
        <w:t xml:space="preserve"> y la lectura realizada por la propia dirección corroboraron la necesidad de una transformación organizativa más profunda que un mero ajuste de funciones. </w:t>
      </w:r>
    </w:p>
    <w:p w14:paraId="7695F177" w14:textId="78EDACEE" w:rsidR="00634850" w:rsidRPr="00C01704" w:rsidRDefault="00634850" w:rsidP="00C01704">
      <w:pPr>
        <w:spacing w:after="160" w:line="278" w:lineRule="auto"/>
        <w:rPr>
          <w:rFonts w:ascii="Gadugi" w:eastAsiaTheme="majorEastAsia" w:hAnsi="Gadugi" w:cstheme="majorBidi"/>
          <w:color w:val="3A7C22" w:themeColor="accent6" w:themeShade="BF"/>
          <w:sz w:val="18"/>
          <w:szCs w:val="18"/>
        </w:rPr>
      </w:pPr>
      <w:r w:rsidRPr="00C01704">
        <w:rPr>
          <w:rFonts w:ascii="Gadugi" w:hAnsi="Gadugi"/>
          <w:color w:val="3A7C22" w:themeColor="accent6" w:themeShade="BF"/>
          <w:sz w:val="18"/>
          <w:szCs w:val="18"/>
        </w:rPr>
        <w:t>Fase 1. Encuadre estratégico y redefinición del propósito</w:t>
      </w:r>
    </w:p>
    <w:p w14:paraId="715D57CA" w14:textId="1C42B334"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primera fase se inició con una sesión técnica con Dirección y Junta Directiva orientada a establecer objetivos, límites, expectativas, criterios de éxito y papeles de cada actor. En transformaciones de esta naturaleza la primera tarea no consiste en definir soluciones, sino en crear condiciones para que la organización pueda pensar con suficiente seguridad, pluralidad y foco. Por eso el encuadre inicial no fue un trámite; fue una decisión de gobierno del proceso.</w:t>
      </w:r>
    </w:p>
    <w:p w14:paraId="24FDE070"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En esta fase se constituyeron dos estructuras temporales de inteligencia colectiva, complementarias y necesarias para sostener la calidad del proceso:</w:t>
      </w:r>
    </w:p>
    <w:p w14:paraId="67EB719A" w14:textId="77777777" w:rsidR="00857123" w:rsidRPr="00C01704" w:rsidRDefault="00857123" w:rsidP="00AE0616">
      <w:pPr>
        <w:spacing w:after="0" w:line="240" w:lineRule="auto"/>
        <w:jc w:val="both"/>
        <w:rPr>
          <w:rFonts w:ascii="Gadugi" w:hAnsi="Gadugi"/>
          <w:sz w:val="18"/>
          <w:szCs w:val="18"/>
        </w:rPr>
      </w:pPr>
    </w:p>
    <w:p w14:paraId="3A97EC80" w14:textId="77777777" w:rsidR="00634850" w:rsidRPr="00C01704" w:rsidRDefault="00634850" w:rsidP="00857123">
      <w:pPr>
        <w:pStyle w:val="Listaconnmeros"/>
        <w:numPr>
          <w:ilvl w:val="0"/>
          <w:numId w:val="6"/>
        </w:numPr>
        <w:tabs>
          <w:tab w:val="clear" w:pos="360"/>
          <w:tab w:val="num" w:pos="720"/>
        </w:tabs>
        <w:spacing w:after="0" w:line="240" w:lineRule="auto"/>
        <w:ind w:left="714" w:hanging="357"/>
        <w:jc w:val="both"/>
        <w:rPr>
          <w:rFonts w:ascii="Gadugi" w:hAnsi="Gadugi"/>
          <w:sz w:val="18"/>
          <w:szCs w:val="18"/>
        </w:rPr>
      </w:pPr>
      <w:r w:rsidRPr="00C01704">
        <w:rPr>
          <w:rFonts w:ascii="Gadugi" w:hAnsi="Gadugi"/>
          <w:b/>
          <w:bCs/>
          <w:sz w:val="18"/>
          <w:szCs w:val="18"/>
        </w:rPr>
        <w:t>Equipo Guía (o Motor).</w:t>
      </w:r>
      <w:r w:rsidRPr="00C01704">
        <w:rPr>
          <w:rFonts w:ascii="Gadugi" w:hAnsi="Gadugi"/>
          <w:sz w:val="18"/>
          <w:szCs w:val="18"/>
        </w:rPr>
        <w:t xml:space="preserve"> Con representación transversal de servicios, funciones y niveles profesionales, su papel consistió en orientar, articular y dar sentido al proceso. No asumía decisiones ejecutivas, pero sí la responsabilidad de integrar información, interpretar tensiones y formular propuestas iniciales. Entre sus funciones estuvieron ordenar el proceso, representar la diversidad interna, analizar información procedente del diagnóstico, identificar </w:t>
      </w:r>
      <w:r w:rsidRPr="00C01704">
        <w:rPr>
          <w:rFonts w:ascii="Gadugi" w:hAnsi="Gadugi"/>
          <w:sz w:val="18"/>
          <w:szCs w:val="18"/>
        </w:rPr>
        <w:lastRenderedPageBreak/>
        <w:t>fortalezas y áreas de mejora, detectar riesgos y patrones, y comunicar avances generando transparencia y confianza. En síntesis: pensar, integrar, orientar y proponer.</w:t>
      </w:r>
    </w:p>
    <w:p w14:paraId="5D93C5B3" w14:textId="77777777" w:rsidR="00857123" w:rsidRPr="00C01704" w:rsidRDefault="00857123" w:rsidP="00857123">
      <w:pPr>
        <w:pStyle w:val="Listaconnmeros"/>
        <w:numPr>
          <w:ilvl w:val="0"/>
          <w:numId w:val="0"/>
        </w:numPr>
        <w:spacing w:after="0" w:line="240" w:lineRule="auto"/>
        <w:ind w:left="714"/>
        <w:jc w:val="both"/>
        <w:rPr>
          <w:rFonts w:ascii="Gadugi" w:hAnsi="Gadugi"/>
          <w:sz w:val="18"/>
          <w:szCs w:val="18"/>
        </w:rPr>
      </w:pPr>
    </w:p>
    <w:p w14:paraId="7158ACBC" w14:textId="77777777" w:rsidR="00634850" w:rsidRPr="00C01704" w:rsidRDefault="00634850" w:rsidP="00857123">
      <w:pPr>
        <w:pStyle w:val="Listaconnmeros"/>
        <w:tabs>
          <w:tab w:val="clear" w:pos="360"/>
          <w:tab w:val="num" w:pos="720"/>
        </w:tabs>
        <w:spacing w:after="0" w:line="240" w:lineRule="auto"/>
        <w:ind w:left="714" w:hanging="357"/>
        <w:jc w:val="both"/>
        <w:rPr>
          <w:rFonts w:ascii="Gadugi" w:hAnsi="Gadugi"/>
          <w:sz w:val="18"/>
          <w:szCs w:val="18"/>
        </w:rPr>
      </w:pPr>
      <w:r w:rsidRPr="00C01704">
        <w:rPr>
          <w:rFonts w:ascii="Gadugi" w:hAnsi="Gadugi"/>
          <w:b/>
          <w:bCs/>
          <w:sz w:val="18"/>
          <w:szCs w:val="18"/>
        </w:rPr>
        <w:t>Equipo de Contraste</w:t>
      </w:r>
      <w:r w:rsidRPr="00C01704">
        <w:rPr>
          <w:rFonts w:ascii="Gadugi" w:hAnsi="Gadugi"/>
          <w:sz w:val="18"/>
          <w:szCs w:val="18"/>
        </w:rPr>
        <w:t>. Grupo técnico de composición similar, orientado a revisar, validar y aportar rigor operativo a las propuestas del Equipo Guía. Su función fue asegurar que lo diseñado resultara viable, sostenible y aplicable en el funcionamiento real. Entre sus funciones estuvieron revisar técnicamente las propuestas, valorar su impacto en recursos, cargas de trabajo y tiempos, detectar incoherencias o duplicidades y ajustar el diseño antes de su elevación a los órganos competentes. En síntesis: revisar, validar, ajustar y garantizar viabilidad.</w:t>
      </w:r>
    </w:p>
    <w:p w14:paraId="63921377" w14:textId="77777777" w:rsidR="00857123" w:rsidRPr="00C01704" w:rsidRDefault="00857123" w:rsidP="00AE0616">
      <w:pPr>
        <w:spacing w:after="0" w:line="240" w:lineRule="auto"/>
        <w:jc w:val="both"/>
        <w:rPr>
          <w:rFonts w:ascii="Gadugi" w:hAnsi="Gadugi"/>
          <w:sz w:val="18"/>
          <w:szCs w:val="18"/>
        </w:rPr>
      </w:pPr>
    </w:p>
    <w:p w14:paraId="40570BAD" w14:textId="77777777" w:rsidR="00857123"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La coexistencia de ambos equipos fue una decisión metodológica central. Permitió aumentar la participación interna, reforzar la legitimidad de las propuestas y equilibrar la mirada estratégica con la mirada operativa. Esta doble estructura redujo el riesgo de caer en dos errores frecuentes en este tipo de procesos: producir diseños muy participados pero técnicamente frágiles, o producir diseños técnicamente impecables pero culturalmente poco asumibles. </w:t>
      </w:r>
    </w:p>
    <w:p w14:paraId="35FB03E7" w14:textId="77777777" w:rsidR="00857123" w:rsidRPr="00C01704" w:rsidRDefault="00857123" w:rsidP="00AE0616">
      <w:pPr>
        <w:spacing w:after="0" w:line="240" w:lineRule="auto"/>
        <w:jc w:val="both"/>
        <w:rPr>
          <w:rFonts w:ascii="Gadugi" w:hAnsi="Gadugi"/>
          <w:sz w:val="18"/>
          <w:szCs w:val="18"/>
        </w:rPr>
      </w:pPr>
    </w:p>
    <w:p w14:paraId="5B527201" w14:textId="4AFAC5FC" w:rsidR="00770B10" w:rsidRPr="00C01704" w:rsidRDefault="00634850" w:rsidP="00770B10">
      <w:pPr>
        <w:pStyle w:val="p1"/>
        <w:spacing w:before="0" w:beforeAutospacing="0" w:after="0" w:afterAutospacing="0"/>
        <w:jc w:val="both"/>
        <w:rPr>
          <w:rFonts w:ascii="Gadugi" w:hAnsi="Gadugi"/>
          <w:sz w:val="18"/>
          <w:szCs w:val="18"/>
        </w:rPr>
      </w:pPr>
      <w:r w:rsidRPr="00C01704">
        <w:rPr>
          <w:rFonts w:ascii="Gadugi" w:hAnsi="Gadugi"/>
          <w:sz w:val="18"/>
          <w:szCs w:val="18"/>
        </w:rPr>
        <w:t xml:space="preserve">Como parte de esta fase, se desarrolló además un taller </w:t>
      </w:r>
      <w:r w:rsidR="00770B10" w:rsidRPr="00C01704">
        <w:rPr>
          <w:rFonts w:ascii="Gadugi" w:hAnsi="Gadugi"/>
          <w:sz w:val="18"/>
          <w:szCs w:val="18"/>
        </w:rPr>
        <w:t xml:space="preserve"> </w:t>
      </w:r>
      <w:r w:rsidR="00770B10" w:rsidRPr="00C01704">
        <w:rPr>
          <w:rFonts w:ascii="Gadugi" w:hAnsi="Gadugi"/>
          <w:b/>
          <w:bCs/>
          <w:sz w:val="18"/>
          <w:szCs w:val="18"/>
        </w:rPr>
        <w:t>LEGO® Serious Play®</w:t>
      </w:r>
      <w:r w:rsidR="00770B10" w:rsidRPr="00C01704">
        <w:rPr>
          <w:rFonts w:ascii="Gadugi" w:hAnsi="Gadugi"/>
          <w:sz w:val="18"/>
          <w:szCs w:val="18"/>
        </w:rPr>
        <w:t>: metodología de facilitación y pensamiento compartido que utiliza la construcción con piezas LEGO para hacer visibles ideas, percepciones y modelos mentales, favoreciendo la reflexión, el diálogo, la creatividad y la construcción colectiva de significado en procesos de cambio, estrategia e innovación.</w:t>
      </w:r>
    </w:p>
    <w:p w14:paraId="7EC04B03" w14:textId="77777777" w:rsidR="00770B10" w:rsidRPr="00C01704" w:rsidRDefault="00770B10" w:rsidP="00AE0616">
      <w:pPr>
        <w:spacing w:after="0" w:line="240" w:lineRule="auto"/>
        <w:jc w:val="both"/>
        <w:rPr>
          <w:rFonts w:ascii="Gadugi" w:hAnsi="Gadugi"/>
          <w:sz w:val="18"/>
          <w:szCs w:val="18"/>
        </w:rPr>
      </w:pPr>
      <w:r w:rsidRPr="00C01704">
        <w:rPr>
          <w:rFonts w:ascii="Gadugi" w:hAnsi="Gadugi"/>
          <w:sz w:val="18"/>
          <w:szCs w:val="18"/>
        </w:rPr>
        <w:t xml:space="preserve"> </w:t>
      </w:r>
    </w:p>
    <w:p w14:paraId="71E79803" w14:textId="264AC8D4" w:rsidR="00634850" w:rsidRPr="00C01704" w:rsidRDefault="00770B10" w:rsidP="00AE0616">
      <w:pPr>
        <w:spacing w:after="0" w:line="240" w:lineRule="auto"/>
        <w:jc w:val="both"/>
        <w:rPr>
          <w:rFonts w:ascii="Gadugi" w:hAnsi="Gadugi"/>
          <w:sz w:val="18"/>
          <w:szCs w:val="18"/>
        </w:rPr>
      </w:pPr>
      <w:r w:rsidRPr="00C01704">
        <w:rPr>
          <w:rFonts w:ascii="Gadugi" w:hAnsi="Gadugi"/>
          <w:sz w:val="18"/>
          <w:szCs w:val="18"/>
        </w:rPr>
        <w:t xml:space="preserve">En este taller, </w:t>
      </w:r>
      <w:r w:rsidR="00634850" w:rsidRPr="00C01704">
        <w:rPr>
          <w:rFonts w:ascii="Gadugi" w:hAnsi="Gadugi"/>
          <w:sz w:val="18"/>
          <w:szCs w:val="18"/>
        </w:rPr>
        <w:t>ambos equipos revisaron y redefinieron en profundidad propósito, misión, visión y valores de APANATE. En este tipo de transformaciones, trabajar el propósito no es un ejercicio inspiracional; es una condición para que las decisiones futuras tengan criterios compartidos y no dependan únicamente de urgencias o inercias.</w:t>
      </w:r>
    </w:p>
    <w:p w14:paraId="3CB72652" w14:textId="77777777" w:rsidR="00BA1E5B" w:rsidRPr="00C01704" w:rsidRDefault="00BA1E5B" w:rsidP="00AE0616">
      <w:pPr>
        <w:pStyle w:val="Ttulo2"/>
        <w:spacing w:before="0" w:after="0" w:line="240" w:lineRule="auto"/>
        <w:jc w:val="both"/>
        <w:rPr>
          <w:rFonts w:ascii="Gadugi" w:hAnsi="Gadugi"/>
          <w:color w:val="3A7C22" w:themeColor="accent6" w:themeShade="BF"/>
          <w:sz w:val="18"/>
          <w:szCs w:val="18"/>
        </w:rPr>
      </w:pPr>
    </w:p>
    <w:p w14:paraId="5CBFA4B2" w14:textId="2C406032"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Fase 2. Diagnóstico organizativo multifocal</w:t>
      </w:r>
    </w:p>
    <w:p w14:paraId="734EAC99" w14:textId="77777777" w:rsidR="00BA1E5B" w:rsidRPr="00C01704" w:rsidRDefault="00BA1E5B" w:rsidP="00AE0616">
      <w:pPr>
        <w:spacing w:after="0" w:line="240" w:lineRule="auto"/>
        <w:jc w:val="both"/>
        <w:rPr>
          <w:rFonts w:ascii="Gadugi" w:hAnsi="Gadugi"/>
          <w:sz w:val="18"/>
          <w:szCs w:val="18"/>
        </w:rPr>
      </w:pPr>
    </w:p>
    <w:p w14:paraId="3F1E3960" w14:textId="45E18BBC"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segunda fase se orientó a construir una comprensión rigurosa y compartida de la realidad organizativa. En un sistema social complejo, el diagnóstico no puede reducirse a un análisis estructural ni a la mera recopilación de incidencias. Por ello se diseñó un diagnóstico multifocal, combinando fuentes cuantitativas y cualitativas y atendiendo a distintos niveles del sistema: gobierno, dirección, mandos intermedios, profesionales, familias y referentes informales.</w:t>
      </w:r>
    </w:p>
    <w:p w14:paraId="65CAE36E" w14:textId="77777777" w:rsidR="00BA1E5B" w:rsidRPr="00C01704" w:rsidRDefault="00BA1E5B" w:rsidP="00AE0616">
      <w:pPr>
        <w:spacing w:after="0" w:line="240" w:lineRule="auto"/>
        <w:jc w:val="both"/>
        <w:rPr>
          <w:rFonts w:ascii="Gadugi" w:hAnsi="Gadugi"/>
          <w:sz w:val="18"/>
          <w:szCs w:val="18"/>
        </w:rPr>
      </w:pPr>
    </w:p>
    <w:p w14:paraId="058BE342" w14:textId="53FB2BC4"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El diagnóstico incluyó las siguientes acciones:</w:t>
      </w:r>
    </w:p>
    <w:p w14:paraId="6ADDA476" w14:textId="77777777" w:rsidR="00BA1E5B" w:rsidRPr="00C01704" w:rsidRDefault="00BA1E5B" w:rsidP="00AE0616">
      <w:pPr>
        <w:spacing w:after="0" w:line="240" w:lineRule="auto"/>
        <w:jc w:val="both"/>
        <w:rPr>
          <w:rFonts w:ascii="Gadugi" w:hAnsi="Gadugi"/>
          <w:sz w:val="18"/>
          <w:szCs w:val="18"/>
        </w:rPr>
      </w:pPr>
    </w:p>
    <w:p w14:paraId="629A041C" w14:textId="77777777" w:rsidR="00634850" w:rsidRPr="00C01704" w:rsidRDefault="00634850" w:rsidP="00BA1E5B">
      <w:pPr>
        <w:pStyle w:val="Listaconnmeros"/>
        <w:numPr>
          <w:ilvl w:val="0"/>
          <w:numId w:val="7"/>
        </w:numPr>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Revisión documental de la entidad previa al diagnóstico: DAFO, objetivos e indicadores, informe de revisión por la dirección y encuestas de trabajadores 2025.</w:t>
      </w:r>
    </w:p>
    <w:p w14:paraId="499C9BA9"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Cuestionario estructurado online dirigido a toda la plantilla sobre claridad de funciones, clima organizacional, eficacia de la coordinación, procesos críticos y propuestas de mejora.</w:t>
      </w:r>
    </w:p>
    <w:p w14:paraId="180C750B"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Entrevistas semiestructuradas a informantes clave: gobierno, dirección, mandos intermedios y líderes informales.</w:t>
      </w:r>
    </w:p>
    <w:p w14:paraId="30F2E7E3"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Grupos focales por áreas funcionales para profundizar y contrastar la información surgida del cuestionario.</w:t>
      </w:r>
    </w:p>
    <w:p w14:paraId="71B6AE7A"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Entrevistas con familias para incorporar la percepción de quienes viven la organización desde la experiencia de apoyo y no sólo desde la estructura interna.</w:t>
      </w:r>
    </w:p>
    <w:p w14:paraId="0850754F"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Sesión de validación del diagnóstico con Dirección y Junta Directiva y posterior contraste con el Equipo Guía y el Equipo de Contraste.</w:t>
      </w:r>
    </w:p>
    <w:p w14:paraId="649C2BE4" w14:textId="77777777" w:rsidR="00BA1E5B" w:rsidRPr="00C01704" w:rsidRDefault="00BA1E5B" w:rsidP="00AE0616">
      <w:pPr>
        <w:spacing w:after="0" w:line="240" w:lineRule="auto"/>
        <w:jc w:val="both"/>
        <w:rPr>
          <w:rFonts w:ascii="Gadugi" w:hAnsi="Gadugi"/>
          <w:sz w:val="18"/>
          <w:szCs w:val="18"/>
        </w:rPr>
      </w:pPr>
    </w:p>
    <w:p w14:paraId="563AFCC4" w14:textId="77777777" w:rsidR="00BA1E5B" w:rsidRPr="00C01704" w:rsidRDefault="00BA1E5B" w:rsidP="00AE0616">
      <w:pPr>
        <w:spacing w:after="0" w:line="240" w:lineRule="auto"/>
        <w:jc w:val="both"/>
        <w:rPr>
          <w:rFonts w:ascii="Gadugi" w:hAnsi="Gadugi"/>
          <w:sz w:val="18"/>
          <w:szCs w:val="18"/>
        </w:rPr>
      </w:pPr>
    </w:p>
    <w:p w14:paraId="11B11C43" w14:textId="5096E7D2"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 No se trató sólo de identificar “problemas”, sino de comprender cómo interactuaban entre sí el crecimiento de servicios, las cargas de trabajo, los flujos de decisión, los vacíos de responsabilidad, el lenguaje organizativo, la identidad histórica de la entidad y las expectativas de futuro. Esta lectura permitió hacer visible que la sobrecarga no era únicamente un problema de cantidad de trabajo, sino el efecto emergente de una arquitectura organizativa que había quedado por detrás del crecimiento real de la organización. </w:t>
      </w:r>
    </w:p>
    <w:p w14:paraId="10C11447" w14:textId="77777777" w:rsidR="00BA1E5B" w:rsidRPr="00C01704" w:rsidRDefault="00BA1E5B" w:rsidP="00AE0616">
      <w:pPr>
        <w:pStyle w:val="Ttulo2"/>
        <w:spacing w:before="0" w:after="0" w:line="240" w:lineRule="auto"/>
        <w:jc w:val="both"/>
        <w:rPr>
          <w:rFonts w:ascii="Gadugi" w:hAnsi="Gadugi"/>
          <w:sz w:val="18"/>
          <w:szCs w:val="18"/>
        </w:rPr>
      </w:pPr>
    </w:p>
    <w:p w14:paraId="5295F188" w14:textId="2C59EC0A"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Fase 3. Diseño del nuevo sistema organizativo</w:t>
      </w:r>
    </w:p>
    <w:p w14:paraId="08291FA1" w14:textId="77777777" w:rsidR="00BA1E5B" w:rsidRPr="00C01704" w:rsidRDefault="00BA1E5B" w:rsidP="00AE0616">
      <w:pPr>
        <w:spacing w:after="0" w:line="240" w:lineRule="auto"/>
        <w:jc w:val="both"/>
        <w:rPr>
          <w:rFonts w:ascii="Gadugi" w:hAnsi="Gadugi"/>
          <w:sz w:val="18"/>
          <w:szCs w:val="18"/>
        </w:rPr>
      </w:pPr>
    </w:p>
    <w:p w14:paraId="5D5FDB47" w14:textId="5A3396B2"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A partir del diagnóstico, APANATE abordó la fase de diseño desde tres principios orientadores: continuidad de los apoyos a lo largo del ciclo vital, equidad en la carga de recursos e información y coherencia del sistema. El desplazamiento </w:t>
      </w:r>
      <w:r w:rsidRPr="00C01704">
        <w:rPr>
          <w:rFonts w:ascii="Gadugi" w:hAnsi="Gadugi"/>
          <w:sz w:val="18"/>
          <w:szCs w:val="18"/>
        </w:rPr>
        <w:lastRenderedPageBreak/>
        <w:t xml:space="preserve">conceptual más relevante consistió en dejar atrás una lectura basada en departamentos o servicios como unidades cerradas y avanzar hacia un sistema de apoyos conectados. Desde esta lógica surge el </w:t>
      </w:r>
      <w:r w:rsidRPr="00C01704">
        <w:rPr>
          <w:rFonts w:ascii="Gadugi" w:hAnsi="Gadugi"/>
          <w:b/>
          <w:bCs/>
          <w:sz w:val="18"/>
          <w:szCs w:val="18"/>
        </w:rPr>
        <w:t>concepto de Hub</w:t>
      </w:r>
      <w:r w:rsidRPr="00C01704">
        <w:rPr>
          <w:rFonts w:ascii="Gadugi" w:hAnsi="Gadugi"/>
          <w:sz w:val="18"/>
          <w:szCs w:val="18"/>
        </w:rPr>
        <w:t xml:space="preserve"> entendido como punto de conexión: no un departamento más, sino un centro de coherencia que une lo que debe funcionar vinculado, reduce el riesgo de islas organizativas y hace visible quién alinea, prioriza y cierra.</w:t>
      </w:r>
    </w:p>
    <w:p w14:paraId="38E9938F" w14:textId="77777777" w:rsidR="00BA1E5B" w:rsidRPr="00C01704" w:rsidRDefault="00BA1E5B" w:rsidP="00AE0616">
      <w:pPr>
        <w:spacing w:after="0" w:line="240" w:lineRule="auto"/>
        <w:jc w:val="both"/>
        <w:rPr>
          <w:rFonts w:ascii="Gadugi" w:hAnsi="Gadugi"/>
          <w:sz w:val="18"/>
          <w:szCs w:val="18"/>
        </w:rPr>
      </w:pPr>
    </w:p>
    <w:p w14:paraId="416C09B6" w14:textId="55019623"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El modelo resultante se articuló en cinco niveles de responsabilidad:</w:t>
      </w:r>
    </w:p>
    <w:p w14:paraId="58540CBD" w14:textId="77777777" w:rsidR="00BA1E5B" w:rsidRPr="00C01704" w:rsidRDefault="00BA1E5B" w:rsidP="00AE0616">
      <w:pPr>
        <w:spacing w:after="0" w:line="240" w:lineRule="auto"/>
        <w:jc w:val="both"/>
        <w:rPr>
          <w:rFonts w:ascii="Gadugi" w:hAnsi="Gadugi"/>
          <w:sz w:val="18"/>
          <w:szCs w:val="18"/>
        </w:rPr>
      </w:pPr>
    </w:p>
    <w:p w14:paraId="68BD5991" w14:textId="77777777" w:rsidR="00634850" w:rsidRPr="00C01704" w:rsidRDefault="00634850" w:rsidP="00BA1E5B">
      <w:pPr>
        <w:pStyle w:val="Listaconnmeros"/>
        <w:numPr>
          <w:ilvl w:val="0"/>
          <w:numId w:val="8"/>
        </w:numPr>
        <w:rPr>
          <w:rFonts w:ascii="Gadugi" w:hAnsi="Gadugi"/>
          <w:sz w:val="18"/>
          <w:szCs w:val="18"/>
        </w:rPr>
      </w:pPr>
      <w:r w:rsidRPr="00C01704">
        <w:rPr>
          <w:rFonts w:ascii="Gadugi" w:hAnsi="Gadugi"/>
          <w:b/>
          <w:bCs/>
          <w:sz w:val="18"/>
          <w:szCs w:val="18"/>
        </w:rPr>
        <w:t>Gobierno y garantías</w:t>
      </w:r>
      <w:r w:rsidRPr="00C01704">
        <w:rPr>
          <w:rFonts w:ascii="Gadugi" w:hAnsi="Gadugi"/>
          <w:sz w:val="18"/>
          <w:szCs w:val="18"/>
        </w:rPr>
        <w:t>. La Junta Directiva, acompañada por tres órganos complementarios: Consejo Consultivo, Comité Delegado y Grupo de Reflexión Ética. Con ello se refuerza la capacidad de criterio, anticipación de riesgos, conexión con la vida diaria de la organización y salvaguarda ética y de derechos.</w:t>
      </w:r>
    </w:p>
    <w:p w14:paraId="4321F055" w14:textId="77777777" w:rsidR="00634850" w:rsidRPr="00C01704" w:rsidRDefault="00634850" w:rsidP="00BA1E5B">
      <w:pPr>
        <w:pStyle w:val="Listaconnmeros"/>
        <w:rPr>
          <w:rFonts w:ascii="Gadugi" w:hAnsi="Gadugi"/>
          <w:sz w:val="18"/>
          <w:szCs w:val="18"/>
        </w:rPr>
      </w:pPr>
      <w:r w:rsidRPr="00C01704">
        <w:rPr>
          <w:rFonts w:ascii="Gadugi" w:hAnsi="Gadugi"/>
          <w:b/>
          <w:bCs/>
          <w:sz w:val="18"/>
          <w:szCs w:val="18"/>
        </w:rPr>
        <w:t>Dirección de Propósito, Misión y Cultura.</w:t>
      </w:r>
      <w:r w:rsidRPr="00C01704">
        <w:rPr>
          <w:rFonts w:ascii="Gadugi" w:hAnsi="Gadugi"/>
          <w:sz w:val="18"/>
          <w:szCs w:val="18"/>
        </w:rPr>
        <w:t xml:space="preserve"> Custodia el propósito institucional, traduce el propósito en criterios de decisión, gestiona el ecosistema de alianzas y prioriza cuando aparecen tensiones entre unidades y Hubs.</w:t>
      </w:r>
    </w:p>
    <w:p w14:paraId="080DD2DC" w14:textId="77777777" w:rsidR="00634850" w:rsidRPr="00C01704" w:rsidRDefault="00634850" w:rsidP="00BA1E5B">
      <w:pPr>
        <w:pStyle w:val="Listaconnmeros"/>
        <w:rPr>
          <w:rFonts w:ascii="Gadugi" w:hAnsi="Gadugi"/>
          <w:sz w:val="18"/>
          <w:szCs w:val="18"/>
        </w:rPr>
      </w:pPr>
      <w:r w:rsidRPr="00C01704">
        <w:rPr>
          <w:rFonts w:ascii="Gadugi" w:hAnsi="Gadugi"/>
          <w:b/>
          <w:bCs/>
          <w:sz w:val="18"/>
          <w:szCs w:val="18"/>
        </w:rPr>
        <w:t>Dirección de Apoyos y Calidad de Vida.</w:t>
      </w:r>
      <w:r w:rsidRPr="00C01704">
        <w:rPr>
          <w:rFonts w:ascii="Gadugi" w:hAnsi="Gadugi"/>
          <w:sz w:val="18"/>
          <w:szCs w:val="18"/>
        </w:rPr>
        <w:t xml:space="preserve"> Garantiza coherencia técnica del acompañamiento, continuidad entre unidades de apoyo y equidad en cargas, criterios, tiempos y respuesta. Lidera el Hub 1 (Apoyos) y el Hub 2 (Familias, Vida en Comunidad y Derechos).</w:t>
      </w:r>
    </w:p>
    <w:p w14:paraId="155EFD91" w14:textId="77777777" w:rsidR="00634850" w:rsidRPr="00C01704" w:rsidRDefault="00634850" w:rsidP="00BA1E5B">
      <w:pPr>
        <w:pStyle w:val="Listaconnmeros"/>
        <w:rPr>
          <w:rFonts w:ascii="Gadugi" w:hAnsi="Gadugi"/>
          <w:sz w:val="18"/>
          <w:szCs w:val="18"/>
        </w:rPr>
      </w:pPr>
      <w:r w:rsidRPr="00C01704">
        <w:rPr>
          <w:rFonts w:ascii="Gadugi" w:hAnsi="Gadugi"/>
          <w:b/>
          <w:bCs/>
          <w:sz w:val="18"/>
          <w:szCs w:val="18"/>
        </w:rPr>
        <w:t>Dirección de Recursos y Sostenibilidad</w:t>
      </w:r>
      <w:r w:rsidRPr="00C01704">
        <w:rPr>
          <w:rFonts w:ascii="Gadugi" w:hAnsi="Gadugi"/>
          <w:sz w:val="18"/>
          <w:szCs w:val="18"/>
        </w:rPr>
        <w:t>. Asegura soporte predecible, digitalización útil y sostenibilidad económica. Lidera el Hub 3 (Gestión de Personas y Talento), el Hub 4 (Recursos e Infraestructura) y el Hub 5 (Sostenibilidad y Transformación).</w:t>
      </w:r>
    </w:p>
    <w:p w14:paraId="78326DA0" w14:textId="3DC4CF74" w:rsidR="00634850" w:rsidRPr="00C01704" w:rsidRDefault="00634850" w:rsidP="00BA1E5B">
      <w:pPr>
        <w:pStyle w:val="Listaconnmeros"/>
        <w:rPr>
          <w:rFonts w:ascii="Gadugi" w:hAnsi="Gadugi"/>
          <w:sz w:val="18"/>
          <w:szCs w:val="18"/>
        </w:rPr>
      </w:pPr>
      <w:r w:rsidRPr="00C01704">
        <w:rPr>
          <w:rFonts w:ascii="Gadugi" w:hAnsi="Gadugi"/>
          <w:b/>
          <w:bCs/>
          <w:sz w:val="18"/>
          <w:szCs w:val="18"/>
        </w:rPr>
        <w:t>Cinco Hubs de coordinación.</w:t>
      </w:r>
      <w:r w:rsidRPr="00C01704">
        <w:rPr>
          <w:rFonts w:ascii="Gadugi" w:hAnsi="Gadugi"/>
          <w:sz w:val="18"/>
          <w:szCs w:val="18"/>
        </w:rPr>
        <w:t xml:space="preserve"> Cada uno con un/a Referente de Hub </w:t>
      </w:r>
      <w:r w:rsidR="00AE0616" w:rsidRPr="00C01704">
        <w:rPr>
          <w:rFonts w:ascii="Gadugi" w:hAnsi="Gadugi"/>
          <w:sz w:val="18"/>
          <w:szCs w:val="18"/>
        </w:rPr>
        <w:t>-</w:t>
      </w:r>
      <w:r w:rsidRPr="00C01704">
        <w:rPr>
          <w:rFonts w:ascii="Gadugi" w:hAnsi="Gadugi"/>
          <w:sz w:val="18"/>
          <w:szCs w:val="18"/>
        </w:rPr>
        <w:t xml:space="preserve">responsable de la coherencia entre unidades y coordinadores/as de unidad de apoyo </w:t>
      </w:r>
      <w:r w:rsidR="00AE0616" w:rsidRPr="00C01704">
        <w:rPr>
          <w:rFonts w:ascii="Gadugi" w:hAnsi="Gadugi"/>
          <w:sz w:val="18"/>
          <w:szCs w:val="18"/>
        </w:rPr>
        <w:t>-</w:t>
      </w:r>
      <w:r w:rsidRPr="00C01704">
        <w:rPr>
          <w:rFonts w:ascii="Gadugi" w:hAnsi="Gadugi"/>
          <w:sz w:val="18"/>
          <w:szCs w:val="18"/>
        </w:rPr>
        <w:t>responsables del día a día operativo. La distinción entre ambos roles evita confundir gestión cotidiana con alineamiento sistémico.</w:t>
      </w:r>
    </w:p>
    <w:p w14:paraId="41A49E0B" w14:textId="18FC941A"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El sistema se sostiene, además, en tres espacios de gobierno operativo: </w:t>
      </w:r>
      <w:r w:rsidRPr="00C01704">
        <w:rPr>
          <w:rFonts w:ascii="Gadugi" w:hAnsi="Gadugi"/>
          <w:b/>
          <w:bCs/>
          <w:sz w:val="18"/>
          <w:szCs w:val="18"/>
        </w:rPr>
        <w:t>el Consejo de Dirección, orientado al rumbo y la priorización; el Consejo de Referentes, centrado en resolver cruces reales entre Hubs; y el Equipo de Despliegue,</w:t>
      </w:r>
      <w:r w:rsidRPr="00C01704">
        <w:rPr>
          <w:rFonts w:ascii="Gadugi" w:hAnsi="Gadugi"/>
          <w:sz w:val="18"/>
          <w:szCs w:val="18"/>
        </w:rPr>
        <w:t xml:space="preserve"> concebido como radar preventivo de composición mixta con profesionales de atención directa, referentes, personas con TEA y representantes de familias. Su función es detectar tensiones antes de que se conviertan en urgencia y tomar el pulso al despliegue desde la experiencia real de personas, familias y profesionales.</w:t>
      </w:r>
    </w:p>
    <w:p w14:paraId="2C1887AF" w14:textId="6A507BBC" w:rsidR="00BA1E5B" w:rsidRPr="00BA0CE4" w:rsidRDefault="00634850" w:rsidP="00BA0CE4">
      <w:pPr>
        <w:spacing w:after="0" w:line="240" w:lineRule="auto"/>
        <w:jc w:val="both"/>
        <w:rPr>
          <w:rFonts w:ascii="Gadugi" w:hAnsi="Gadugi"/>
          <w:sz w:val="18"/>
          <w:szCs w:val="18"/>
        </w:rPr>
      </w:pPr>
      <w:r w:rsidRPr="00C01704">
        <w:rPr>
          <w:rFonts w:ascii="Gadugi" w:hAnsi="Gadugi"/>
          <w:sz w:val="18"/>
          <w:szCs w:val="18"/>
        </w:rPr>
        <w:t xml:space="preserve">La regla de funcionamiento del modelo quedó formulada de manera explícita: lo que afecta a un área se decide en un área; lo que cruza varias unidades de un mismo Hub se decide en el Hub; lo que cruza varios Hubs se trabaja en el Consejo de Referentes; y lo estructural o de alto impacto se eleva al Consejo de Dirección. Cada decisión se cierra con responsable, fecha y verificación. </w:t>
      </w:r>
    </w:p>
    <w:p w14:paraId="09D26432" w14:textId="6D9C9BF9"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Fase 4. Despliegue adaptativo y gestión del cambio</w:t>
      </w:r>
    </w:p>
    <w:p w14:paraId="5DF3BDFF" w14:textId="77777777" w:rsidR="00BA1E5B" w:rsidRPr="00C01704" w:rsidRDefault="00BA1E5B" w:rsidP="00AE0616">
      <w:pPr>
        <w:spacing w:after="0" w:line="240" w:lineRule="auto"/>
        <w:jc w:val="both"/>
        <w:rPr>
          <w:rFonts w:ascii="Gadugi" w:hAnsi="Gadugi"/>
          <w:sz w:val="18"/>
          <w:szCs w:val="18"/>
        </w:rPr>
      </w:pPr>
    </w:p>
    <w:p w14:paraId="675A893C" w14:textId="207FB29C"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Una vez validado el diseño, APANATE inició su despliegue. Es importante subrayar que la práctica no entiende esta fase como “implantación” en sentido clásico. En transformaciones de esta naturaleza no se implanta una solución cerrada; se despliega un sistema que debe probarse, ajustarse y consolidarse a medida que entra en contacto con la realidad. Por ello, el despliegue se estructuró en tres etapas: comprender y ordenar (meses 1-2), activar y probar (meses 3-4) y consolidar (meses 5-6).</w:t>
      </w:r>
    </w:p>
    <w:p w14:paraId="174FB00C"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El nuevo diseño se presentó al Grupo Motor, al Grupo de Contraste y a los grupos focales que habían participado en el diagnóstico. Tras ajustar propuestas, se definió una hoja de ruta con 29 acciones concretas, responsables y plazos, con seguimiento semanal en el Consejo de Dirección mediante un sistema de indicadores con semáforo de estado. Junto al seguimiento, se incorporaron mecanismos de evaluación continua para revisar el proceso y ajustar el despliegue en cada etapa. La idea de fondo fue clara: una estructura de este tipo no puede darse por cerrada desde el diseño; necesita ser comprendida, tensionada, probada y consolidada en contacto con la práctica real.</w:t>
      </w:r>
    </w:p>
    <w:p w14:paraId="371F306D" w14:textId="77777777" w:rsidR="00BA1E5B" w:rsidRPr="00C01704" w:rsidRDefault="00BA1E5B" w:rsidP="00AE0616">
      <w:pPr>
        <w:pStyle w:val="Ttulo2"/>
        <w:spacing w:before="0" w:after="0" w:line="240" w:lineRule="auto"/>
        <w:jc w:val="both"/>
        <w:rPr>
          <w:rFonts w:ascii="Gadugi" w:hAnsi="Gadugi"/>
          <w:sz w:val="18"/>
          <w:szCs w:val="18"/>
        </w:rPr>
      </w:pPr>
    </w:p>
    <w:p w14:paraId="67216964" w14:textId="42F0C392" w:rsidR="00634850" w:rsidRPr="00C01704" w:rsidRDefault="00BA1E5B"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L</w:t>
      </w:r>
      <w:r w:rsidR="00634850" w:rsidRPr="00C01704">
        <w:rPr>
          <w:rFonts w:ascii="Gadugi" w:hAnsi="Gadugi"/>
          <w:color w:val="3A7C22" w:themeColor="accent6" w:themeShade="BF"/>
          <w:sz w:val="18"/>
          <w:szCs w:val="18"/>
        </w:rPr>
        <w:t>ecciones aprendidas</w:t>
      </w:r>
    </w:p>
    <w:p w14:paraId="648AC0CB" w14:textId="77777777" w:rsidR="00BA1E5B" w:rsidRPr="00C01704" w:rsidRDefault="00BA1E5B" w:rsidP="00AE0616">
      <w:pPr>
        <w:spacing w:after="0" w:line="240" w:lineRule="auto"/>
        <w:jc w:val="both"/>
        <w:rPr>
          <w:rFonts w:ascii="Gadugi" w:hAnsi="Gadugi"/>
          <w:sz w:val="18"/>
          <w:szCs w:val="18"/>
        </w:rPr>
      </w:pPr>
    </w:p>
    <w:p w14:paraId="07D5018A" w14:textId="42918AE8"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El proceso ha mostrado dificultades propias de cualquier transformación organizativa de calado. Lejos de interpretarlas como anomalías, APANATE las ha leído como parte constitutiva del proceso de cambio:</w:t>
      </w:r>
    </w:p>
    <w:p w14:paraId="6C4840CF" w14:textId="77777777" w:rsidR="00BA1E5B" w:rsidRPr="00C01704" w:rsidRDefault="00BA1E5B" w:rsidP="00BA1E5B">
      <w:pPr>
        <w:pStyle w:val="Listaconnmeros"/>
        <w:numPr>
          <w:ilvl w:val="0"/>
          <w:numId w:val="0"/>
        </w:numPr>
        <w:spacing w:after="0" w:line="240" w:lineRule="auto"/>
        <w:ind w:left="360"/>
        <w:jc w:val="both"/>
        <w:rPr>
          <w:rFonts w:ascii="Gadugi" w:hAnsi="Gadugi"/>
          <w:sz w:val="18"/>
          <w:szCs w:val="18"/>
        </w:rPr>
      </w:pPr>
    </w:p>
    <w:p w14:paraId="11A8C74E" w14:textId="298B9E65" w:rsidR="00634850" w:rsidRPr="00C01704" w:rsidRDefault="00634850" w:rsidP="00BA1E5B">
      <w:pPr>
        <w:pStyle w:val="Listaconnmeros"/>
        <w:numPr>
          <w:ilvl w:val="0"/>
          <w:numId w:val="9"/>
        </w:numPr>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Acompañar el cambio cultural de los propios profesionales. Los miedos a nuevas formas de organizarse, las resistencias a nuevas rutinas y el cambio de lenguaje exigen espacios de escucha y acompañamiento sostenido.</w:t>
      </w:r>
    </w:p>
    <w:p w14:paraId="12F2A958"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lastRenderedPageBreak/>
        <w:t>Gestionar la traducción laboral del diseño. La definición de nuevos roles de Referente de Hub ha requerido acompañamiento jurídico-laboral para asegurar viabilidad y equidad, introduciendo dependencias externas que ralentizan algunas decisiones.</w:t>
      </w:r>
    </w:p>
    <w:p w14:paraId="02575CAE" w14:textId="336CDF9A"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 xml:space="preserve">Sostener la carga de diseñar y desplegar en paralelo. La experiencia ha confirmado que priorizar sin culpa </w:t>
      </w:r>
      <w:r w:rsidR="00AE0616" w:rsidRPr="00C01704">
        <w:rPr>
          <w:rFonts w:ascii="Gadugi" w:hAnsi="Gadugi"/>
          <w:sz w:val="18"/>
          <w:szCs w:val="18"/>
        </w:rPr>
        <w:t>-</w:t>
      </w:r>
      <w:r w:rsidRPr="00C01704">
        <w:rPr>
          <w:rFonts w:ascii="Gadugi" w:hAnsi="Gadugi"/>
          <w:sz w:val="18"/>
          <w:szCs w:val="18"/>
        </w:rPr>
        <w:t>aceptando que no todo puede avanzar a la vez</w:t>
      </w:r>
      <w:r w:rsidR="00AE0616" w:rsidRPr="00C01704">
        <w:rPr>
          <w:rFonts w:ascii="Gadugi" w:hAnsi="Gadugi"/>
          <w:sz w:val="18"/>
          <w:szCs w:val="18"/>
        </w:rPr>
        <w:t>-</w:t>
      </w:r>
      <w:r w:rsidRPr="00C01704">
        <w:rPr>
          <w:rFonts w:ascii="Gadugi" w:hAnsi="Gadugi"/>
          <w:sz w:val="18"/>
          <w:szCs w:val="18"/>
        </w:rPr>
        <w:t xml:space="preserve"> es una decisión de gestión, no un fracaso del proceso.</w:t>
      </w:r>
    </w:p>
    <w:p w14:paraId="6C8B2C2A" w14:textId="77777777" w:rsidR="00634850" w:rsidRPr="00C01704" w:rsidRDefault="00634850" w:rsidP="00BA1E5B">
      <w:pPr>
        <w:pStyle w:val="Listaconnmeros"/>
        <w:tabs>
          <w:tab w:val="clear" w:pos="360"/>
          <w:tab w:val="num" w:pos="720"/>
        </w:tabs>
        <w:spacing w:after="0" w:line="240" w:lineRule="auto"/>
        <w:ind w:left="714" w:hanging="357"/>
        <w:rPr>
          <w:rFonts w:ascii="Gadugi" w:hAnsi="Gadugi"/>
          <w:sz w:val="18"/>
          <w:szCs w:val="18"/>
        </w:rPr>
      </w:pPr>
      <w:r w:rsidRPr="00C01704">
        <w:rPr>
          <w:rFonts w:ascii="Gadugi" w:hAnsi="Gadugi"/>
          <w:sz w:val="18"/>
          <w:szCs w:val="18"/>
        </w:rPr>
        <w:t>Acompañar a la Junta Directiva en el cambio. Una transformación de esta naturaleza necesita tiempo, información y espacios de deliberación. Acompañar el gobierno es tan importante como diseñar la estructura; delimitar con claridad qué corresponde al gobierno y qué corresponde a la gestión sigue siendo un aprendizaje en curso.</w:t>
      </w:r>
    </w:p>
    <w:p w14:paraId="34727396" w14:textId="77777777" w:rsidR="00BA1E5B" w:rsidRPr="00C01704" w:rsidRDefault="00BA1E5B" w:rsidP="00AE0616">
      <w:pPr>
        <w:spacing w:after="0" w:line="240" w:lineRule="auto"/>
        <w:jc w:val="both"/>
        <w:rPr>
          <w:rFonts w:ascii="Gadugi" w:hAnsi="Gadugi"/>
          <w:sz w:val="18"/>
          <w:szCs w:val="18"/>
        </w:rPr>
      </w:pPr>
    </w:p>
    <w:p w14:paraId="7D63D1D9" w14:textId="2D636331" w:rsidR="00BA1E5B" w:rsidRPr="00C01704" w:rsidRDefault="00634850" w:rsidP="00C01704">
      <w:pPr>
        <w:spacing w:after="0" w:line="240" w:lineRule="auto"/>
        <w:jc w:val="both"/>
        <w:rPr>
          <w:rFonts w:ascii="Gadugi" w:eastAsiaTheme="majorEastAsia" w:hAnsi="Gadugi" w:cstheme="majorBidi"/>
          <w:b/>
          <w:bCs/>
          <w:color w:val="3A7C22" w:themeColor="accent6" w:themeShade="BF"/>
          <w:sz w:val="18"/>
          <w:szCs w:val="18"/>
        </w:rPr>
      </w:pPr>
      <w:r w:rsidRPr="00C01704">
        <w:rPr>
          <w:rFonts w:ascii="Gadugi" w:hAnsi="Gadugi"/>
          <w:sz w:val="18"/>
          <w:szCs w:val="18"/>
        </w:rPr>
        <w:t>Una lección especialmente relevante es que el diseño organizativo debe instalarse en el alma de la entidad. Avanzar en la hoja de ruta no equivale automáticamente a generar impacto en la vida de las personas con autismo y sus familias. Los indicadores ayudan, pero no piensan. Por ello APANATE ha distinguido tres niveles de evaluación: seguimiento del proceso, resultado organizativo e impacto social esperado y observado.</w:t>
      </w:r>
    </w:p>
    <w:p w14:paraId="1AED6394" w14:textId="6E31890E" w:rsidR="00634850" w:rsidRPr="00C01704" w:rsidRDefault="00634850" w:rsidP="00AE0616">
      <w:pPr>
        <w:pStyle w:val="Ttulo1"/>
        <w:spacing w:before="0" w:after="0" w:line="240" w:lineRule="auto"/>
        <w:jc w:val="both"/>
        <w:rPr>
          <w:rFonts w:ascii="Gadugi" w:hAnsi="Gadugi"/>
          <w:b/>
          <w:bCs/>
          <w:color w:val="3A7C22" w:themeColor="accent6" w:themeShade="BF"/>
          <w:sz w:val="18"/>
          <w:szCs w:val="18"/>
        </w:rPr>
      </w:pPr>
      <w:r w:rsidRPr="00C01704">
        <w:rPr>
          <w:rFonts w:ascii="Gadugi" w:hAnsi="Gadugi"/>
          <w:b/>
          <w:bCs/>
          <w:color w:val="3A7C22" w:themeColor="accent6" w:themeShade="BF"/>
          <w:sz w:val="18"/>
          <w:szCs w:val="18"/>
        </w:rPr>
        <w:t>3. Método empleado</w:t>
      </w:r>
    </w:p>
    <w:p w14:paraId="28686D3F" w14:textId="77777777" w:rsidR="00BA1E5B" w:rsidRPr="00C01704" w:rsidRDefault="00BA1E5B" w:rsidP="00AE0616">
      <w:pPr>
        <w:spacing w:after="0" w:line="240" w:lineRule="auto"/>
        <w:jc w:val="both"/>
        <w:rPr>
          <w:rFonts w:ascii="Gadugi" w:hAnsi="Gadugi"/>
          <w:sz w:val="18"/>
          <w:szCs w:val="18"/>
        </w:rPr>
      </w:pPr>
    </w:p>
    <w:p w14:paraId="2011EFB2" w14:textId="2CA7BA02"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El proceso se condujo con una metodología específica para abordar situaciones de alta complejidad organizativa. Esto significa que no </w:t>
      </w:r>
      <w:r w:rsidR="00BA1E5B" w:rsidRPr="00C01704">
        <w:rPr>
          <w:rFonts w:ascii="Gadugi" w:hAnsi="Gadugi"/>
          <w:sz w:val="18"/>
          <w:szCs w:val="18"/>
        </w:rPr>
        <w:t>está</w:t>
      </w:r>
      <w:r w:rsidRPr="00C01704">
        <w:rPr>
          <w:rFonts w:ascii="Gadugi" w:hAnsi="Gadugi"/>
          <w:sz w:val="18"/>
          <w:szCs w:val="18"/>
        </w:rPr>
        <w:t xml:space="preserve"> ejecutó un plan completamente cerrado desde el inicio, sino que se construyó el camino mientras se avanzaba, con dirección clara, espacios de gobierno definidos, participación estructurada, pilotaje, aprendizaje y ajuste continuo. </w:t>
      </w:r>
    </w:p>
    <w:p w14:paraId="1CC0DB97" w14:textId="77777777" w:rsidR="00BA1E5B" w:rsidRPr="00C01704" w:rsidRDefault="00BA1E5B" w:rsidP="00AE0616">
      <w:pPr>
        <w:spacing w:after="0" w:line="240" w:lineRule="auto"/>
        <w:jc w:val="both"/>
        <w:rPr>
          <w:rFonts w:ascii="Gadugi" w:hAnsi="Gadugi"/>
          <w:sz w:val="18"/>
          <w:szCs w:val="18"/>
        </w:rPr>
      </w:pPr>
    </w:p>
    <w:p w14:paraId="10D69356" w14:textId="65DE5071"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Recursos y herramientas empleados:</w:t>
      </w:r>
    </w:p>
    <w:p w14:paraId="11620FF5" w14:textId="77777777" w:rsidR="00BA1E5B" w:rsidRPr="00C01704" w:rsidRDefault="00BA1E5B" w:rsidP="00AE0616">
      <w:pPr>
        <w:spacing w:after="0" w:line="240" w:lineRule="auto"/>
        <w:jc w:val="both"/>
        <w:rPr>
          <w:rFonts w:ascii="Gadugi" w:hAnsi="Gadugi"/>
          <w:sz w:val="18"/>
          <w:szCs w:val="18"/>
        </w:rPr>
      </w:pPr>
    </w:p>
    <w:p w14:paraId="12DEF448" w14:textId="77777777" w:rsidR="00634850" w:rsidRPr="00C01704" w:rsidRDefault="00634850" w:rsidP="00BA1E5B">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Acompañamiento metodológico de Valores, como consultora externa especializada en transformación organizativa de entidades similares, cuyo papel consistió en facilitar el proceso, aportar marcos de análisis y estructurar la participación, sin sustituir la capacidad de decisión de APANATE.</w:t>
      </w:r>
    </w:p>
    <w:p w14:paraId="0E4E1DD0" w14:textId="77777777" w:rsidR="00634850" w:rsidRPr="00C01704" w:rsidRDefault="00634850" w:rsidP="00BA1E5B">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Estructuras de participación interna de doble nivel: Equipo Guía y Equipo de Contraste, incorporando además personas con TEA en el Equipo de Despliegue.</w:t>
      </w:r>
    </w:p>
    <w:p w14:paraId="65DA7C1E" w14:textId="77777777" w:rsidR="00634850" w:rsidRPr="00C01704" w:rsidRDefault="00634850" w:rsidP="00BA1E5B">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Taller LEGO Serious Play para el trabajo sobre propósito, identidad y cultura organizativa.</w:t>
      </w:r>
    </w:p>
    <w:p w14:paraId="09D876A6" w14:textId="77777777" w:rsidR="00634850" w:rsidRPr="00C01704" w:rsidRDefault="00634850" w:rsidP="00BA1E5B">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Herramientas cuantitativas y cualitativas de diagnóstico: cuestionario online, grupos focales, entrevistas y revisión documental.</w:t>
      </w:r>
    </w:p>
    <w:p w14:paraId="58435BF1" w14:textId="2D3282BC" w:rsidR="00BA1E5B" w:rsidRPr="00C01704" w:rsidRDefault="00634850" w:rsidP="00AE0616">
      <w:pPr>
        <w:pStyle w:val="Listaconvietas"/>
        <w:tabs>
          <w:tab w:val="num" w:pos="720"/>
        </w:tabs>
        <w:spacing w:after="0" w:line="240" w:lineRule="auto"/>
        <w:ind w:left="720" w:hanging="360"/>
        <w:jc w:val="both"/>
        <w:rPr>
          <w:rFonts w:ascii="Gadugi" w:hAnsi="Gadugi"/>
          <w:sz w:val="18"/>
          <w:szCs w:val="18"/>
        </w:rPr>
      </w:pPr>
      <w:r w:rsidRPr="00C01704">
        <w:rPr>
          <w:rFonts w:ascii="Gadugi" w:hAnsi="Gadugi"/>
          <w:sz w:val="18"/>
          <w:szCs w:val="18"/>
        </w:rPr>
        <w:t>Hoja de ruta de implantación con seguimiento semanal aprobado por el órgano de gobierno y sistema de indicadores con semáforo de estado.</w:t>
      </w:r>
    </w:p>
    <w:p w14:paraId="0E20BBC2" w14:textId="19FBF12E" w:rsidR="00634850" w:rsidRPr="00C01704" w:rsidRDefault="00634850" w:rsidP="00AE0616">
      <w:pPr>
        <w:pStyle w:val="Ttulo1"/>
        <w:spacing w:before="0" w:after="0" w:line="240" w:lineRule="auto"/>
        <w:jc w:val="both"/>
        <w:rPr>
          <w:rFonts w:ascii="Gadugi" w:hAnsi="Gadugi"/>
          <w:sz w:val="18"/>
          <w:szCs w:val="18"/>
        </w:rPr>
      </w:pPr>
      <w:r w:rsidRPr="00C01704">
        <w:rPr>
          <w:rFonts w:ascii="Gadugi" w:hAnsi="Gadugi"/>
          <w:sz w:val="18"/>
          <w:szCs w:val="18"/>
        </w:rPr>
        <w:t>4. Principales resultados obtenidos</w:t>
      </w:r>
    </w:p>
    <w:p w14:paraId="35628094" w14:textId="77777777" w:rsidR="008C0C95" w:rsidRPr="00C01704" w:rsidRDefault="008C0C95" w:rsidP="00AE0616">
      <w:pPr>
        <w:spacing w:after="0" w:line="240" w:lineRule="auto"/>
        <w:jc w:val="both"/>
        <w:rPr>
          <w:rFonts w:ascii="Gadugi" w:hAnsi="Gadugi"/>
          <w:sz w:val="18"/>
          <w:szCs w:val="18"/>
        </w:rPr>
      </w:pPr>
    </w:p>
    <w:p w14:paraId="719A7A9D" w14:textId="582C017C"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implantación continúa en curso. A 21 de junio de 2026, el sistema de seguimiento registra 29 acciones en la hoja de ruta, de las cuales 7 están cerradas, 3 en preparación, 13 en riesgo o bloqueadas principalmente por el pendiente nombramiento de referentes y la validación jurídico-laboral de su remuneración y 6 no iniciadas. El avance medio es del 27 %. APANATE presenta este dato con transparencia porque expresa el estado de un proceso vivo, no el de un modelo ya estabilizado. En procesos de esta naturaleza, el valor del dato no reside solo en cuánto se ha ejecutado, sino en cuánto se está aprendiendo sobre la viabilidad real del sistema diseñado.</w:t>
      </w:r>
    </w:p>
    <w:p w14:paraId="6BD57052" w14:textId="77777777" w:rsidR="008C0C95" w:rsidRPr="00C01704" w:rsidRDefault="008C0C95" w:rsidP="00AE0616">
      <w:pPr>
        <w:spacing w:after="0" w:line="240" w:lineRule="auto"/>
        <w:jc w:val="both"/>
        <w:rPr>
          <w:rFonts w:ascii="Gadugi" w:hAnsi="Gadugi"/>
          <w:sz w:val="18"/>
          <w:szCs w:val="18"/>
        </w:rPr>
      </w:pPr>
    </w:p>
    <w:p w14:paraId="4E5ED39E" w14:textId="21F269E6"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Resultados tangibles a la fecha:</w:t>
      </w:r>
    </w:p>
    <w:p w14:paraId="19D52B7F" w14:textId="77777777" w:rsidR="008C0C95" w:rsidRPr="00C01704" w:rsidRDefault="008C0C95" w:rsidP="00AE0616">
      <w:pPr>
        <w:spacing w:after="0" w:line="240" w:lineRule="auto"/>
        <w:jc w:val="both"/>
        <w:rPr>
          <w:rFonts w:ascii="Gadugi" w:hAnsi="Gadugi"/>
          <w:sz w:val="18"/>
          <w:szCs w:val="18"/>
        </w:rPr>
      </w:pPr>
    </w:p>
    <w:p w14:paraId="26E93489" w14:textId="77777777" w:rsidR="00634850" w:rsidRPr="00C01704" w:rsidRDefault="00634850" w:rsidP="00583C46">
      <w:pPr>
        <w:pStyle w:val="Listaconnmeros"/>
        <w:numPr>
          <w:ilvl w:val="0"/>
          <w:numId w:val="10"/>
        </w:numPr>
        <w:tabs>
          <w:tab w:val="clear" w:pos="360"/>
          <w:tab w:val="num" w:pos="720"/>
        </w:tabs>
        <w:spacing w:after="0" w:line="240" w:lineRule="auto"/>
        <w:ind w:left="714" w:hanging="357"/>
        <w:jc w:val="both"/>
        <w:rPr>
          <w:rFonts w:ascii="Gadugi" w:hAnsi="Gadugi"/>
          <w:sz w:val="18"/>
          <w:szCs w:val="18"/>
        </w:rPr>
      </w:pPr>
      <w:r w:rsidRPr="00C01704">
        <w:rPr>
          <w:rFonts w:ascii="Gadugi" w:hAnsi="Gadugi"/>
          <w:sz w:val="18"/>
          <w:szCs w:val="18"/>
        </w:rPr>
        <w:t>Nuevo sistema organizativo diseñado, presentado y validado: arquitectura de cinco niveles de responsabilidad, tres direcciones complementarias y cinco Hubs de coordinación con reglas explícitas de decisión y cierre.</w:t>
      </w:r>
    </w:p>
    <w:p w14:paraId="5B9120F8" w14:textId="77777777" w:rsidR="00634850" w:rsidRPr="00C01704" w:rsidRDefault="00634850" w:rsidP="00583C46">
      <w:pPr>
        <w:pStyle w:val="Listaconnmeros"/>
        <w:tabs>
          <w:tab w:val="clear" w:pos="360"/>
          <w:tab w:val="num" w:pos="720"/>
        </w:tabs>
        <w:spacing w:after="0" w:line="240" w:lineRule="auto"/>
        <w:ind w:left="714" w:hanging="357"/>
        <w:jc w:val="both"/>
        <w:rPr>
          <w:rFonts w:ascii="Gadugi" w:hAnsi="Gadugi"/>
          <w:sz w:val="18"/>
          <w:szCs w:val="18"/>
        </w:rPr>
      </w:pPr>
      <w:r w:rsidRPr="00C01704">
        <w:rPr>
          <w:rFonts w:ascii="Gadugi" w:hAnsi="Gadugi"/>
          <w:sz w:val="18"/>
          <w:szCs w:val="18"/>
        </w:rPr>
        <w:t>Cambio de marco conceptual incorporado al lenguaje de la organización: de “servicios” a “apoyos conectados” y de un criterio de igualdad a uno de equidad.</w:t>
      </w:r>
    </w:p>
    <w:p w14:paraId="69AAA295" w14:textId="77777777" w:rsidR="00634850" w:rsidRPr="00C01704" w:rsidRDefault="00634850" w:rsidP="00583C46">
      <w:pPr>
        <w:pStyle w:val="Listaconnmeros"/>
        <w:tabs>
          <w:tab w:val="clear" w:pos="360"/>
          <w:tab w:val="num" w:pos="720"/>
        </w:tabs>
        <w:spacing w:after="0" w:line="240" w:lineRule="auto"/>
        <w:ind w:left="714" w:hanging="357"/>
        <w:jc w:val="both"/>
        <w:rPr>
          <w:rFonts w:ascii="Gadugi" w:hAnsi="Gadugi"/>
          <w:sz w:val="18"/>
          <w:szCs w:val="18"/>
        </w:rPr>
      </w:pPr>
      <w:r w:rsidRPr="00C01704">
        <w:rPr>
          <w:rFonts w:ascii="Gadugi" w:hAnsi="Gadugi"/>
          <w:sz w:val="18"/>
          <w:szCs w:val="18"/>
        </w:rPr>
        <w:t>Gobernanza ética incorporada de forma estructural mediante el Grupo de Reflexión Ética, con circuito definido de recepción, análisis y seguimiento ante situaciones de vulneración de derechos.</w:t>
      </w:r>
    </w:p>
    <w:p w14:paraId="522C1BD3" w14:textId="77777777" w:rsidR="00634850" w:rsidRPr="00C01704" w:rsidRDefault="00634850" w:rsidP="00583C46">
      <w:pPr>
        <w:pStyle w:val="Listaconnmeros"/>
        <w:tabs>
          <w:tab w:val="clear" w:pos="360"/>
          <w:tab w:val="num" w:pos="720"/>
        </w:tabs>
        <w:spacing w:after="0" w:line="240" w:lineRule="auto"/>
        <w:ind w:left="714" w:hanging="357"/>
        <w:jc w:val="both"/>
        <w:rPr>
          <w:rFonts w:ascii="Gadugi" w:hAnsi="Gadugi"/>
          <w:sz w:val="18"/>
          <w:szCs w:val="18"/>
        </w:rPr>
      </w:pPr>
      <w:r w:rsidRPr="00C01704">
        <w:rPr>
          <w:rFonts w:ascii="Gadugi" w:hAnsi="Gadugi"/>
          <w:sz w:val="18"/>
          <w:szCs w:val="18"/>
        </w:rPr>
        <w:t>Hoja de ruta de 29 acciones con sistema de seguimiento semanal operativo, registro de decisiones y registro de riesgos.</w:t>
      </w:r>
    </w:p>
    <w:p w14:paraId="01344480" w14:textId="6C3D255F" w:rsidR="00634850" w:rsidRPr="00C01704" w:rsidRDefault="00634850" w:rsidP="00583C46">
      <w:pPr>
        <w:pStyle w:val="Listaconnmeros"/>
        <w:tabs>
          <w:tab w:val="clear" w:pos="360"/>
          <w:tab w:val="num" w:pos="720"/>
        </w:tabs>
        <w:spacing w:after="0" w:line="240" w:lineRule="auto"/>
        <w:ind w:left="714" w:hanging="357"/>
        <w:jc w:val="both"/>
        <w:rPr>
          <w:rFonts w:ascii="Gadugi" w:hAnsi="Gadugi"/>
          <w:sz w:val="18"/>
          <w:szCs w:val="18"/>
        </w:rPr>
      </w:pPr>
      <w:r w:rsidRPr="00C01704">
        <w:rPr>
          <w:rFonts w:ascii="Gadugi" w:hAnsi="Gadugi"/>
          <w:sz w:val="18"/>
          <w:szCs w:val="18"/>
        </w:rPr>
        <w:t>Siete acciones ya cerradas</w:t>
      </w:r>
      <w:r w:rsidR="00BE7F15">
        <w:rPr>
          <w:rFonts w:ascii="Gadugi" w:hAnsi="Gadugi"/>
          <w:sz w:val="18"/>
          <w:szCs w:val="18"/>
        </w:rPr>
        <w:t>.</w:t>
      </w:r>
    </w:p>
    <w:p w14:paraId="4D34839E" w14:textId="77777777" w:rsidR="00634850" w:rsidRPr="00C01704" w:rsidRDefault="00634850" w:rsidP="00583C46">
      <w:pPr>
        <w:pStyle w:val="Listaconnmeros"/>
        <w:tabs>
          <w:tab w:val="clear" w:pos="360"/>
          <w:tab w:val="num" w:pos="720"/>
        </w:tabs>
        <w:spacing w:after="0" w:line="240" w:lineRule="auto"/>
        <w:ind w:left="714" w:hanging="357"/>
        <w:jc w:val="both"/>
        <w:rPr>
          <w:rFonts w:ascii="Gadugi" w:hAnsi="Gadugi"/>
          <w:sz w:val="18"/>
          <w:szCs w:val="18"/>
        </w:rPr>
      </w:pPr>
      <w:r w:rsidRPr="00C01704">
        <w:rPr>
          <w:rFonts w:ascii="Gadugi" w:hAnsi="Gadugi"/>
          <w:sz w:val="18"/>
          <w:szCs w:val="18"/>
        </w:rPr>
        <w:lastRenderedPageBreak/>
        <w:t>Fichas de los cinco Referentes de Hub compartidas con el Equipo de Contraste, ajustadas y pendientes de validación jurídica para iniciar el proceso de promoción interna.</w:t>
      </w:r>
    </w:p>
    <w:p w14:paraId="2D6F7ECD" w14:textId="77777777" w:rsidR="00583C46" w:rsidRPr="00C01704" w:rsidRDefault="00583C46" w:rsidP="00AE0616">
      <w:pPr>
        <w:spacing w:after="0" w:line="240" w:lineRule="auto"/>
        <w:jc w:val="both"/>
        <w:rPr>
          <w:rFonts w:ascii="Gadugi" w:hAnsi="Gadugi"/>
          <w:sz w:val="18"/>
          <w:szCs w:val="18"/>
        </w:rPr>
      </w:pPr>
    </w:p>
    <w:p w14:paraId="04FA946B" w14:textId="60FD1C53" w:rsidR="00634850" w:rsidRPr="00C01704" w:rsidRDefault="00634850" w:rsidP="00AE0616">
      <w:pPr>
        <w:pStyle w:val="Ttulo1"/>
        <w:spacing w:before="0" w:after="0" w:line="240" w:lineRule="auto"/>
        <w:jc w:val="both"/>
        <w:rPr>
          <w:rFonts w:ascii="Gadugi" w:hAnsi="Gadugi"/>
          <w:b/>
          <w:bCs/>
          <w:color w:val="3A7C22" w:themeColor="accent6" w:themeShade="BF"/>
          <w:sz w:val="18"/>
          <w:szCs w:val="18"/>
        </w:rPr>
      </w:pPr>
      <w:r w:rsidRPr="00C01704">
        <w:rPr>
          <w:rFonts w:ascii="Gadugi" w:hAnsi="Gadugi"/>
          <w:b/>
          <w:bCs/>
          <w:color w:val="3A7C22" w:themeColor="accent6" w:themeShade="BF"/>
          <w:sz w:val="18"/>
          <w:szCs w:val="18"/>
        </w:rPr>
        <w:t>5. Justificación de los criterios de valoración</w:t>
      </w:r>
    </w:p>
    <w:p w14:paraId="6C5EF04A" w14:textId="77777777" w:rsidR="00583C46" w:rsidRPr="00C01704" w:rsidRDefault="00583C46" w:rsidP="00AE0616">
      <w:pPr>
        <w:pStyle w:val="Ttulo2"/>
        <w:spacing w:before="0" w:after="0" w:line="240" w:lineRule="auto"/>
        <w:jc w:val="both"/>
        <w:rPr>
          <w:rFonts w:ascii="Gadugi" w:hAnsi="Gadugi"/>
          <w:sz w:val="18"/>
          <w:szCs w:val="18"/>
        </w:rPr>
      </w:pPr>
    </w:p>
    <w:p w14:paraId="0D04618A" w14:textId="1DF5738F"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a. Necesidad sentida por partes interesadas</w:t>
      </w:r>
    </w:p>
    <w:p w14:paraId="7C1EB648" w14:textId="35C1AB46"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necesidad estaba claramente evidenciada en el DAFO de la entidad, en las encuestas de trabajadores de 2025 y en la percepción sostenida de dirección y gobierno. La práctica responde, por tanto, a una necesidad real, reconocida internamente y contrastada con diferentes grupos de interés.</w:t>
      </w:r>
    </w:p>
    <w:p w14:paraId="13A8EDD6" w14:textId="77777777" w:rsidR="00583C46" w:rsidRPr="00C01704" w:rsidRDefault="00583C46" w:rsidP="00AE0616">
      <w:pPr>
        <w:pStyle w:val="Ttulo2"/>
        <w:spacing w:before="0" w:after="0" w:line="240" w:lineRule="auto"/>
        <w:jc w:val="both"/>
        <w:rPr>
          <w:rFonts w:ascii="Gadugi" w:hAnsi="Gadugi"/>
          <w:color w:val="3A7C22" w:themeColor="accent6" w:themeShade="BF"/>
          <w:sz w:val="18"/>
          <w:szCs w:val="18"/>
        </w:rPr>
      </w:pPr>
    </w:p>
    <w:p w14:paraId="4143EF7A" w14:textId="3850ED35"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b. Sostenibilidad de la entidad</w:t>
      </w:r>
    </w:p>
    <w:p w14:paraId="6646F6CE" w14:textId="52B8ED94"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Sin una estructura sólida, APANATE corría el riesgo de sostenerse sobre el compromiso extraordinario de las personas, con impacto previsible en desmotivación, desgaste, bajas y pérdida de eficacia. El nuevo modelo distribuye responsabilidad, clarifica circuitos y mejora la previsibilidad del soporte, lo que incrementa la sostenibilidad institucional y reduce la dependencia de heroísmos cotidianos.</w:t>
      </w:r>
    </w:p>
    <w:p w14:paraId="4DA98C43" w14:textId="77777777" w:rsidR="00583C46" w:rsidRPr="00C01704" w:rsidRDefault="00583C46" w:rsidP="00AE0616">
      <w:pPr>
        <w:pStyle w:val="Ttulo2"/>
        <w:spacing w:before="0" w:after="0" w:line="240" w:lineRule="auto"/>
        <w:jc w:val="both"/>
        <w:rPr>
          <w:rFonts w:ascii="Gadugi" w:hAnsi="Gadugi"/>
          <w:sz w:val="18"/>
          <w:szCs w:val="18"/>
        </w:rPr>
      </w:pPr>
    </w:p>
    <w:p w14:paraId="4B7734B9" w14:textId="77352A6D"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c. Innovación</w:t>
      </w:r>
    </w:p>
    <w:p w14:paraId="372E68A9" w14:textId="7C76B922"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innovación no reside únicamente en una estructura nueva, sino en el cambio de marco desde el que la organización se piensa a sí misma: de servicios a apoyos conectados; de igualdad a equidad; de departamentos a Hubs como centros de coherencia; de participación consultiva a participación estructurada; y de la ética como marco declarativo a la ética incorporada al gobierno. La práctica combina innovación conceptual, organizativa y de gobernanza.</w:t>
      </w:r>
    </w:p>
    <w:p w14:paraId="62877983" w14:textId="77777777" w:rsidR="00583C46" w:rsidRPr="00C01704" w:rsidRDefault="00583C46" w:rsidP="00AE0616">
      <w:pPr>
        <w:pStyle w:val="Ttulo2"/>
        <w:spacing w:before="0" w:after="0" w:line="240" w:lineRule="auto"/>
        <w:jc w:val="both"/>
        <w:rPr>
          <w:rFonts w:ascii="Gadugi" w:hAnsi="Gadugi"/>
          <w:sz w:val="18"/>
          <w:szCs w:val="18"/>
        </w:rPr>
      </w:pPr>
    </w:p>
    <w:p w14:paraId="0A71F1DE" w14:textId="056A8546"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d. Base en datos o evidencias contrastables</w:t>
      </w:r>
    </w:p>
    <w:p w14:paraId="5058764A" w14:textId="6530D3B1"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La práctica se apoya en </w:t>
      </w:r>
      <w:r w:rsidR="001B6EE0" w:rsidRPr="00C01704">
        <w:rPr>
          <w:rFonts w:ascii="Gadugi" w:hAnsi="Gadugi"/>
          <w:sz w:val="18"/>
          <w:szCs w:val="18"/>
        </w:rPr>
        <w:t xml:space="preserve">instrumentos de </w:t>
      </w:r>
      <w:r w:rsidR="00FA47FE" w:rsidRPr="00C01704">
        <w:rPr>
          <w:rFonts w:ascii="Gadugi" w:hAnsi="Gadugi"/>
          <w:sz w:val="18"/>
          <w:szCs w:val="18"/>
        </w:rPr>
        <w:t>consulta (cuestionario)</w:t>
      </w:r>
      <w:r w:rsidRPr="00C01704">
        <w:rPr>
          <w:rFonts w:ascii="Gadugi" w:hAnsi="Gadugi"/>
          <w:sz w:val="18"/>
          <w:szCs w:val="18"/>
        </w:rPr>
        <w:t>, informe de resultados del diagnóstico, materiales de validación, hoja de ruta, cuadro de mando con datos actualizados semanalmente, registro de decisiones y registro de riesgos. La combinación de fuentes cuantitativas y cualitativas aporta solidez a la lectura realizada y a las decisiones adoptadas.</w:t>
      </w:r>
    </w:p>
    <w:p w14:paraId="726B8046" w14:textId="77777777" w:rsidR="00583C46" w:rsidRPr="00C01704" w:rsidRDefault="00583C46" w:rsidP="00AE0616">
      <w:pPr>
        <w:pStyle w:val="Ttulo2"/>
        <w:spacing w:before="0" w:after="0" w:line="240" w:lineRule="auto"/>
        <w:jc w:val="both"/>
        <w:rPr>
          <w:rFonts w:ascii="Gadugi" w:hAnsi="Gadugi"/>
          <w:sz w:val="18"/>
          <w:szCs w:val="18"/>
        </w:rPr>
      </w:pPr>
    </w:p>
    <w:p w14:paraId="6CBEC7E7" w14:textId="024D8171"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e. Garantías de continuidad</w:t>
      </w:r>
    </w:p>
    <w:p w14:paraId="6E07CCA5"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hoja de ruta aprobada por el órgano de gobierno, el seguimiento semanal en Consejo de Dirección y la previsión de evaluación del primer ciclo semestral con la Junta Directiva garantizan continuidad institucional más allá del impulso inicial del proyecto y más allá del acompañamiento externo. La continuidad se sostiene, además, en la creación de espacios permanentes de gobierno y aprendizaje.</w:t>
      </w:r>
    </w:p>
    <w:p w14:paraId="20DB92B5" w14:textId="77777777" w:rsidR="00583C46" w:rsidRPr="00C01704" w:rsidRDefault="00583C46" w:rsidP="00AE0616">
      <w:pPr>
        <w:pStyle w:val="Ttulo2"/>
        <w:spacing w:before="0" w:after="0" w:line="240" w:lineRule="auto"/>
        <w:jc w:val="both"/>
        <w:rPr>
          <w:rFonts w:ascii="Gadugi" w:hAnsi="Gadugi"/>
          <w:sz w:val="18"/>
          <w:szCs w:val="18"/>
        </w:rPr>
      </w:pPr>
    </w:p>
    <w:p w14:paraId="3C42CD27" w14:textId="2124EE6D"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f. Participación de personas con discapacidad y familias</w:t>
      </w:r>
    </w:p>
    <w:p w14:paraId="69C52AB4"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Las familias han participado mediante entrevistas en el diagnóstico y, a través de la Junta Directiva, en las fases de encuadre, contraste y validación. Las personas con TEA se incorporan al Equipo de Despliegue con los apoyos necesarios para una participación efectiva, haciendo presente la voz directa de quienes son el centro de la misión de la entidad. Se trata de un aspecto relevante de la práctica y, a la vez, de un ámbito que APANATE reconoce en evolución y que seguirá fortaleciendo.</w:t>
      </w:r>
    </w:p>
    <w:p w14:paraId="4C043DEA" w14:textId="77777777"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g. Sistematización</w:t>
      </w:r>
    </w:p>
    <w:p w14:paraId="59C823E1"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práctica se encuentra sistematizada mediante fases claras, objetivos por fase, estructuras de participación definidas, hoja de ruta de 29 acciones con responsables y temporalización, y sistema de indicadores en tres niveles: seguimiento del proceso, resultado organizativo e impacto social. Esta sistematización permite trazabilidad, aprendizaje y replicabilidad.</w:t>
      </w:r>
    </w:p>
    <w:p w14:paraId="71194399" w14:textId="77777777" w:rsidR="00FA47FE" w:rsidRPr="00C01704" w:rsidRDefault="00FA47FE" w:rsidP="00AE0616">
      <w:pPr>
        <w:pStyle w:val="Ttulo2"/>
        <w:spacing w:before="0" w:after="0" w:line="240" w:lineRule="auto"/>
        <w:jc w:val="both"/>
        <w:rPr>
          <w:rFonts w:ascii="Gadugi" w:hAnsi="Gadugi"/>
          <w:sz w:val="18"/>
          <w:szCs w:val="18"/>
        </w:rPr>
      </w:pPr>
    </w:p>
    <w:p w14:paraId="6E1561D3" w14:textId="283E1786"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h. Transferibilidad</w:t>
      </w:r>
    </w:p>
    <w:p w14:paraId="4556DBDB" w14:textId="081C46FD"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práctica no busca que otras entidades copien la estructura de APANATE, sino que puedan comprender y adaptar la lógica metodológica del proceso. La secuencia seguida encuadre, diagnóstico, diseño, despliegue adaptativo, seguimiento y revisión, los dispositivos de participación creados y el sistema de seguimiento permiten transferir la metodología a otras organizaciones con realidades similares, respetando sus contextos, historias y propósitos propios.</w:t>
      </w:r>
    </w:p>
    <w:p w14:paraId="3976CA03" w14:textId="77777777" w:rsidR="00FA47FE" w:rsidRPr="00C01704" w:rsidRDefault="00FA47FE" w:rsidP="00AE0616">
      <w:pPr>
        <w:pStyle w:val="Ttulo2"/>
        <w:spacing w:before="0" w:after="0" w:line="240" w:lineRule="auto"/>
        <w:jc w:val="both"/>
        <w:rPr>
          <w:rFonts w:ascii="Gadugi" w:hAnsi="Gadugi"/>
          <w:sz w:val="18"/>
          <w:szCs w:val="18"/>
        </w:rPr>
      </w:pPr>
    </w:p>
    <w:p w14:paraId="303D324F" w14:textId="71432F34"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i. Revisión periódica</w:t>
      </w:r>
    </w:p>
    <w:p w14:paraId="36BFBAB2" w14:textId="61D45A9F"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revisión está incorporada como principio metodológico: seguimiento semanal en Consejo de Dirección, pilotaje sobre asuntos reales, ajuste de funciones y circuitos durante el despliegue y evaluación del primer ciclo semestral con la Junta Directiva prevista para septiembre de 2026.</w:t>
      </w:r>
    </w:p>
    <w:p w14:paraId="76EFEF2B" w14:textId="77777777" w:rsidR="00EC058C" w:rsidRPr="00C01704" w:rsidRDefault="00EC058C" w:rsidP="00AE0616">
      <w:pPr>
        <w:pStyle w:val="Ttulo2"/>
        <w:spacing w:before="0" w:after="0" w:line="240" w:lineRule="auto"/>
        <w:jc w:val="both"/>
        <w:rPr>
          <w:rFonts w:ascii="Gadugi" w:hAnsi="Gadugi"/>
          <w:sz w:val="18"/>
          <w:szCs w:val="18"/>
        </w:rPr>
      </w:pPr>
    </w:p>
    <w:p w14:paraId="746A08C4" w14:textId="3FDC0671" w:rsidR="00634850" w:rsidRPr="00C01704" w:rsidRDefault="00634850" w:rsidP="00AE0616">
      <w:pPr>
        <w:pStyle w:val="Ttulo2"/>
        <w:spacing w:before="0" w:after="0" w:line="240" w:lineRule="auto"/>
        <w:jc w:val="both"/>
        <w:rPr>
          <w:rFonts w:ascii="Gadugi" w:hAnsi="Gadugi"/>
          <w:color w:val="3A7C22" w:themeColor="accent6" w:themeShade="BF"/>
          <w:sz w:val="18"/>
          <w:szCs w:val="18"/>
        </w:rPr>
      </w:pPr>
      <w:r w:rsidRPr="00C01704">
        <w:rPr>
          <w:rFonts w:ascii="Gadugi" w:hAnsi="Gadugi"/>
          <w:color w:val="3A7C22" w:themeColor="accent6" w:themeShade="BF"/>
          <w:sz w:val="18"/>
          <w:szCs w:val="18"/>
        </w:rPr>
        <w:t>j. Novedad</w:t>
      </w:r>
    </w:p>
    <w:p w14:paraId="22DF39B2"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Se trata de una práctica de nueva presentación, no expuesta previamente en otros congresos o jornadas de Plena inclusión.</w:t>
      </w:r>
    </w:p>
    <w:p w14:paraId="2B4B1F3A" w14:textId="77777777" w:rsidR="00EC058C" w:rsidRPr="00C01704" w:rsidRDefault="00EC058C" w:rsidP="00AE0616">
      <w:pPr>
        <w:pStyle w:val="Ttulo1"/>
        <w:spacing w:before="0" w:after="0" w:line="240" w:lineRule="auto"/>
        <w:jc w:val="both"/>
        <w:rPr>
          <w:rFonts w:ascii="Gadugi" w:hAnsi="Gadugi"/>
          <w:sz w:val="18"/>
          <w:szCs w:val="18"/>
        </w:rPr>
      </w:pPr>
    </w:p>
    <w:p w14:paraId="68B52A1E" w14:textId="6DB747D1" w:rsidR="00634850" w:rsidRPr="00C01704" w:rsidRDefault="00634850" w:rsidP="00AE0616">
      <w:pPr>
        <w:pStyle w:val="Ttulo1"/>
        <w:spacing w:before="0" w:after="0" w:line="240" w:lineRule="auto"/>
        <w:jc w:val="both"/>
        <w:rPr>
          <w:rFonts w:ascii="Gadugi" w:hAnsi="Gadugi"/>
          <w:sz w:val="18"/>
          <w:szCs w:val="18"/>
        </w:rPr>
      </w:pPr>
      <w:r w:rsidRPr="00C01704">
        <w:rPr>
          <w:rFonts w:ascii="Gadugi" w:hAnsi="Gadugi"/>
          <w:sz w:val="18"/>
          <w:szCs w:val="18"/>
        </w:rPr>
        <w:t>Conclusiones</w:t>
      </w:r>
    </w:p>
    <w:p w14:paraId="38A53D98" w14:textId="77777777" w:rsidR="00EC058C" w:rsidRPr="00C01704" w:rsidRDefault="00EC058C" w:rsidP="00AE0616">
      <w:pPr>
        <w:spacing w:after="0" w:line="240" w:lineRule="auto"/>
        <w:jc w:val="both"/>
        <w:rPr>
          <w:rFonts w:ascii="Gadugi" w:hAnsi="Gadugi"/>
          <w:sz w:val="18"/>
          <w:szCs w:val="18"/>
        </w:rPr>
      </w:pPr>
    </w:p>
    <w:p w14:paraId="091DB38B" w14:textId="7BF9C91C"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 xml:space="preserve">Esta práctica no presenta un modelo definitivamente cerrado, sino un proceso vivo de transformación organizativa con resultados tangibles y un despliegue aún en curso. Precisamente ahí reside buena parte de su valor: en mostrar que una entidad del tercer sector del autismo puede abordar una transformación profunda </w:t>
      </w:r>
      <w:r w:rsidR="00AE0616" w:rsidRPr="00C01704">
        <w:rPr>
          <w:rFonts w:ascii="Gadugi" w:hAnsi="Gadugi"/>
          <w:sz w:val="18"/>
          <w:szCs w:val="18"/>
        </w:rPr>
        <w:t>-</w:t>
      </w:r>
      <w:r w:rsidRPr="00C01704">
        <w:rPr>
          <w:rFonts w:ascii="Gadugi" w:hAnsi="Gadugi"/>
          <w:sz w:val="18"/>
          <w:szCs w:val="18"/>
        </w:rPr>
        <w:t>de su cultura, su estructura y su modelo de gobierno</w:t>
      </w:r>
      <w:r w:rsidR="00AE0616" w:rsidRPr="00C01704">
        <w:rPr>
          <w:rFonts w:ascii="Gadugi" w:hAnsi="Gadugi"/>
          <w:sz w:val="18"/>
          <w:szCs w:val="18"/>
        </w:rPr>
        <w:t>-</w:t>
      </w:r>
      <w:r w:rsidRPr="00C01704">
        <w:rPr>
          <w:rFonts w:ascii="Gadugi" w:hAnsi="Gadugi"/>
          <w:sz w:val="18"/>
          <w:szCs w:val="18"/>
        </w:rPr>
        <w:t xml:space="preserve"> de forma ordenada, participativa y metodológicamente sólida, sin reducir la complejidad a un problema meramente técnico.</w:t>
      </w:r>
    </w:p>
    <w:p w14:paraId="3AE33C2D" w14:textId="77777777" w:rsidR="00EC058C" w:rsidRPr="00C01704" w:rsidRDefault="00EC058C" w:rsidP="00AE0616">
      <w:pPr>
        <w:spacing w:after="0" w:line="240" w:lineRule="auto"/>
        <w:jc w:val="both"/>
        <w:rPr>
          <w:rFonts w:ascii="Gadugi" w:hAnsi="Gadugi"/>
          <w:sz w:val="18"/>
          <w:szCs w:val="18"/>
        </w:rPr>
      </w:pPr>
    </w:p>
    <w:p w14:paraId="537D8B86" w14:textId="3638C4D0"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t>La experiencia de APANATE permite afirmar que las organizaciones que trabajan para personas no pueden transformarse como si fueran máquinas. No gestionan únicamente procesos; acompañan vidas. Por ello necesitan marcos organizativos capaces de sostener incertidumbre, interdependencia, aprendizaje y pluralidad de actores sin perder el propósito. El resultado más importante del proyecto no es solo el nuevo sistema organizativo, sino haber incrementado la capacidad adaptativa de la organización: más claridad, más legitimidad, más capacidad para coordinar, más condiciones para anticipar tensiones y más herramientas para seguir evolucionando sin depender del sobreesfuerzo individual.</w:t>
      </w:r>
    </w:p>
    <w:p w14:paraId="1AA3F7B4" w14:textId="77777777" w:rsidR="00EC058C" w:rsidRPr="00C01704" w:rsidRDefault="00EC058C" w:rsidP="00AE0616">
      <w:pPr>
        <w:spacing w:after="0" w:line="240" w:lineRule="auto"/>
        <w:jc w:val="both"/>
        <w:rPr>
          <w:rFonts w:ascii="Gadugi" w:hAnsi="Gadugi"/>
          <w:sz w:val="18"/>
          <w:szCs w:val="18"/>
        </w:rPr>
      </w:pPr>
    </w:p>
    <w:p w14:paraId="125E7E15" w14:textId="3A88514E" w:rsidR="00634850" w:rsidRDefault="00634850" w:rsidP="00AE0616">
      <w:pPr>
        <w:spacing w:after="0" w:line="240" w:lineRule="auto"/>
        <w:jc w:val="both"/>
        <w:rPr>
          <w:rFonts w:ascii="Gadugi" w:hAnsi="Gadugi"/>
          <w:sz w:val="18"/>
          <w:szCs w:val="18"/>
        </w:rPr>
      </w:pPr>
      <w:r w:rsidRPr="00C01704">
        <w:rPr>
          <w:rFonts w:ascii="Gadugi" w:hAnsi="Gadugi"/>
          <w:sz w:val="18"/>
          <w:szCs w:val="18"/>
        </w:rPr>
        <w:t>El impacto definitivo en términos de sostenibilidad y de mejora en la vida de las personas con autismo y sus familias deberá seguir siendo evaluado con mayor evidencia en los próximos ciclos. Pero ya es visible que APANATE dispone hoy de una base más sólida para crecer sin perder el alma: una arquitectura organizativa más coherente con su misión, una gobernanza más clara, un lenguaje compartido para pensar los apoyos y una mayor capacidad para seguir rediseñándose sin traicionar su identidad. Ésa es, en último término, la principal contribución de la práctica.</w:t>
      </w:r>
    </w:p>
    <w:p w14:paraId="73ED52A5" w14:textId="77777777" w:rsidR="0049498C" w:rsidRDefault="0049498C" w:rsidP="00AE0616">
      <w:pPr>
        <w:spacing w:after="0" w:line="240" w:lineRule="auto"/>
        <w:jc w:val="both"/>
        <w:rPr>
          <w:rFonts w:ascii="Gadugi" w:hAnsi="Gadugi"/>
          <w:sz w:val="18"/>
          <w:szCs w:val="18"/>
        </w:rPr>
      </w:pPr>
    </w:p>
    <w:p w14:paraId="1C3E0CD7" w14:textId="77777777" w:rsidR="0049498C" w:rsidRPr="00C01704" w:rsidRDefault="0049498C" w:rsidP="0049498C">
      <w:pPr>
        <w:pStyle w:val="Ttulo1"/>
        <w:spacing w:before="0" w:after="0" w:line="240" w:lineRule="auto"/>
        <w:jc w:val="both"/>
        <w:rPr>
          <w:rFonts w:ascii="Gadugi" w:hAnsi="Gadugi"/>
          <w:b/>
          <w:bCs/>
          <w:color w:val="3A7C22" w:themeColor="accent6" w:themeShade="BF"/>
          <w:sz w:val="18"/>
          <w:szCs w:val="18"/>
        </w:rPr>
      </w:pPr>
      <w:r w:rsidRPr="00C01704">
        <w:rPr>
          <w:rFonts w:ascii="Gadugi" w:hAnsi="Gadugi"/>
          <w:b/>
          <w:bCs/>
          <w:color w:val="3A7C22" w:themeColor="accent6" w:themeShade="BF"/>
          <w:sz w:val="18"/>
          <w:szCs w:val="18"/>
        </w:rPr>
        <w:t>Bibliografía</w:t>
      </w:r>
    </w:p>
    <w:p w14:paraId="137F5E83" w14:textId="77777777" w:rsidR="0049498C" w:rsidRPr="00C01704" w:rsidRDefault="0049498C" w:rsidP="0049498C">
      <w:pPr>
        <w:rPr>
          <w:rFonts w:ascii="Gadugi" w:hAnsi="Gadugi"/>
          <w:sz w:val="18"/>
          <w:szCs w:val="18"/>
        </w:rPr>
      </w:pPr>
    </w:p>
    <w:p w14:paraId="1859893B"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AENOR.</w:t>
      </w:r>
      <w:r w:rsidRPr="00C01704">
        <w:rPr>
          <w:rFonts w:ascii="Gadugi" w:hAnsi="Gadugi"/>
          <w:sz w:val="18"/>
          <w:szCs w:val="18"/>
          <w:lang w:val="es-ES"/>
        </w:rPr>
        <w:t xml:space="preserve"> (2015). </w:t>
      </w:r>
      <w:r w:rsidRPr="00C01704">
        <w:rPr>
          <w:rFonts w:ascii="Gadugi" w:hAnsi="Gadugi"/>
          <w:i/>
          <w:iCs/>
          <w:sz w:val="18"/>
          <w:szCs w:val="18"/>
          <w:lang w:val="es-ES"/>
        </w:rPr>
        <w:t>UNE-EN ISO 9001:2015. Sistemas de gestión de la calidad. Requisitos</w:t>
      </w:r>
      <w:r w:rsidRPr="00C01704">
        <w:rPr>
          <w:rFonts w:ascii="Gadugi" w:hAnsi="Gadugi"/>
          <w:sz w:val="18"/>
          <w:szCs w:val="18"/>
          <w:lang w:val="es-ES"/>
        </w:rPr>
        <w:t>. AENOR.</w:t>
      </w:r>
    </w:p>
    <w:p w14:paraId="3DF25468"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EFQM.</w:t>
      </w:r>
      <w:r w:rsidRPr="00C01704">
        <w:rPr>
          <w:rFonts w:ascii="Gadugi" w:hAnsi="Gadugi"/>
          <w:sz w:val="18"/>
          <w:szCs w:val="18"/>
          <w:lang w:val="es-ES"/>
        </w:rPr>
        <w:t xml:space="preserve"> (2025). </w:t>
      </w:r>
      <w:r w:rsidRPr="00C01704">
        <w:rPr>
          <w:rFonts w:ascii="Gadugi" w:hAnsi="Gadugi"/>
          <w:i/>
          <w:iCs/>
          <w:sz w:val="18"/>
          <w:szCs w:val="18"/>
          <w:lang w:val="es-ES"/>
        </w:rPr>
        <w:t>The EFQM Model 2025</w:t>
      </w:r>
      <w:r w:rsidRPr="00C01704">
        <w:rPr>
          <w:rFonts w:ascii="Gadugi" w:hAnsi="Gadugi"/>
          <w:sz w:val="18"/>
          <w:szCs w:val="18"/>
          <w:lang w:val="es-ES"/>
        </w:rPr>
        <w:t>. European Foundation for Quality Management.</w:t>
      </w:r>
    </w:p>
    <w:p w14:paraId="149CE78F"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ICONG.</w:t>
      </w:r>
      <w:r w:rsidRPr="00C01704">
        <w:rPr>
          <w:rFonts w:ascii="Gadugi" w:hAnsi="Gadugi"/>
          <w:sz w:val="18"/>
          <w:szCs w:val="18"/>
          <w:lang w:val="es-ES"/>
        </w:rPr>
        <w:t xml:space="preserve"> (s. f.). </w:t>
      </w:r>
      <w:r w:rsidRPr="00C01704">
        <w:rPr>
          <w:rFonts w:ascii="Gadugi" w:hAnsi="Gadugi"/>
          <w:i/>
          <w:iCs/>
          <w:sz w:val="18"/>
          <w:szCs w:val="18"/>
          <w:lang w:val="es-ES"/>
        </w:rPr>
        <w:t>Norma ONG Calidad. Versión 6</w:t>
      </w:r>
      <w:r w:rsidRPr="00C01704">
        <w:rPr>
          <w:rFonts w:ascii="Gadugi" w:hAnsi="Gadugi"/>
          <w:sz w:val="18"/>
          <w:szCs w:val="18"/>
          <w:lang w:val="es-ES"/>
        </w:rPr>
        <w:t>. Instituto para la Calidad de las ONG.</w:t>
      </w:r>
    </w:p>
    <w:p w14:paraId="626C2141"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Ingham, A. G., Levinger, G., Graves, J., y Peckham, V.</w:t>
      </w:r>
      <w:r w:rsidRPr="00C01704">
        <w:rPr>
          <w:rFonts w:ascii="Gadugi" w:hAnsi="Gadugi"/>
          <w:sz w:val="18"/>
          <w:szCs w:val="18"/>
          <w:lang w:val="es-ES"/>
        </w:rPr>
        <w:t xml:space="preserve"> (1974). The Ringelmann effect: Studies of group size and group performance. </w:t>
      </w:r>
      <w:r w:rsidRPr="00C01704">
        <w:rPr>
          <w:rFonts w:ascii="Gadugi" w:hAnsi="Gadugi"/>
          <w:i/>
          <w:iCs/>
          <w:sz w:val="18"/>
          <w:szCs w:val="18"/>
          <w:lang w:val="es-ES"/>
        </w:rPr>
        <w:t>Journal of Experimental Social Psychology, 10</w:t>
      </w:r>
      <w:r w:rsidRPr="00C01704">
        <w:rPr>
          <w:rFonts w:ascii="Gadugi" w:hAnsi="Gadugi"/>
          <w:sz w:val="18"/>
          <w:szCs w:val="18"/>
          <w:lang w:val="es-ES"/>
        </w:rPr>
        <w:t>(4), 371-384.</w:t>
      </w:r>
    </w:p>
    <w:p w14:paraId="69449F51"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Karau, S. J., y Williams, K. D.</w:t>
      </w:r>
      <w:r w:rsidRPr="00C01704">
        <w:rPr>
          <w:rFonts w:ascii="Gadugi" w:hAnsi="Gadugi"/>
          <w:sz w:val="18"/>
          <w:szCs w:val="18"/>
          <w:lang w:val="es-ES"/>
        </w:rPr>
        <w:t xml:space="preserve"> (1993). Social loafing: A meta-analytic review and theoretical integration. </w:t>
      </w:r>
      <w:r w:rsidRPr="00C01704">
        <w:rPr>
          <w:rFonts w:ascii="Gadugi" w:hAnsi="Gadugi"/>
          <w:i/>
          <w:iCs/>
          <w:sz w:val="18"/>
          <w:szCs w:val="18"/>
          <w:lang w:val="es-ES"/>
        </w:rPr>
        <w:t>Journal of Personality and Social Psychology, 65</w:t>
      </w:r>
      <w:r w:rsidRPr="00C01704">
        <w:rPr>
          <w:rFonts w:ascii="Gadugi" w:hAnsi="Gadugi"/>
          <w:sz w:val="18"/>
          <w:szCs w:val="18"/>
          <w:lang w:val="es-ES"/>
        </w:rPr>
        <w:t>(4), 681-706.</w:t>
      </w:r>
    </w:p>
    <w:p w14:paraId="08A0C510"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Kristiansen, P., y Rasmussen, R.</w:t>
      </w:r>
      <w:r w:rsidRPr="00C01704">
        <w:rPr>
          <w:rFonts w:ascii="Gadugi" w:hAnsi="Gadugi"/>
          <w:sz w:val="18"/>
          <w:szCs w:val="18"/>
          <w:lang w:val="es-ES"/>
        </w:rPr>
        <w:t xml:space="preserve"> (2014). </w:t>
      </w:r>
      <w:r w:rsidRPr="00C01704">
        <w:rPr>
          <w:rFonts w:ascii="Gadugi" w:hAnsi="Gadugi"/>
          <w:i/>
          <w:iCs/>
          <w:sz w:val="18"/>
          <w:szCs w:val="18"/>
          <w:lang w:val="es-ES"/>
        </w:rPr>
        <w:t>Building a better business using the LEGO® Serious Play® method</w:t>
      </w:r>
      <w:r w:rsidRPr="00C01704">
        <w:rPr>
          <w:rFonts w:ascii="Gadugi" w:hAnsi="Gadugi"/>
          <w:sz w:val="18"/>
          <w:szCs w:val="18"/>
          <w:lang w:val="es-ES"/>
        </w:rPr>
        <w:t>. Wiley.</w:t>
      </w:r>
    </w:p>
    <w:p w14:paraId="1AB4BA1A"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Latané, B., Williams, K., y Harkins, S.</w:t>
      </w:r>
      <w:r w:rsidRPr="00C01704">
        <w:rPr>
          <w:rFonts w:ascii="Gadugi" w:hAnsi="Gadugi"/>
          <w:sz w:val="18"/>
          <w:szCs w:val="18"/>
          <w:lang w:val="es-ES"/>
        </w:rPr>
        <w:t xml:space="preserve"> (1979). Many hands make light the work: The causes and consequences of social loafing. </w:t>
      </w:r>
      <w:r w:rsidRPr="00C01704">
        <w:rPr>
          <w:rFonts w:ascii="Gadugi" w:hAnsi="Gadugi"/>
          <w:i/>
          <w:iCs/>
          <w:sz w:val="18"/>
          <w:szCs w:val="18"/>
          <w:lang w:val="es-ES"/>
        </w:rPr>
        <w:t>Journal of Personality and Social Psychology, 37</w:t>
      </w:r>
      <w:r w:rsidRPr="00C01704">
        <w:rPr>
          <w:rFonts w:ascii="Gadugi" w:hAnsi="Gadugi"/>
          <w:sz w:val="18"/>
          <w:szCs w:val="18"/>
          <w:lang w:val="es-ES"/>
        </w:rPr>
        <w:t>(6), 822-832.</w:t>
      </w:r>
    </w:p>
    <w:p w14:paraId="22542F45"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Morin, E.</w:t>
      </w:r>
      <w:r w:rsidRPr="00C01704">
        <w:rPr>
          <w:rFonts w:ascii="Gadugi" w:hAnsi="Gadugi"/>
          <w:sz w:val="18"/>
          <w:szCs w:val="18"/>
          <w:lang w:val="es-ES"/>
        </w:rPr>
        <w:t xml:space="preserve"> (1990). </w:t>
      </w:r>
      <w:r w:rsidRPr="00C01704">
        <w:rPr>
          <w:rFonts w:ascii="Gadugi" w:hAnsi="Gadugi"/>
          <w:i/>
          <w:iCs/>
          <w:sz w:val="18"/>
          <w:szCs w:val="18"/>
          <w:lang w:val="es-ES"/>
        </w:rPr>
        <w:t>Introduction à la pensée complexe</w:t>
      </w:r>
      <w:r w:rsidRPr="00C01704">
        <w:rPr>
          <w:rFonts w:ascii="Gadugi" w:hAnsi="Gadugi"/>
          <w:sz w:val="18"/>
          <w:szCs w:val="18"/>
          <w:lang w:val="es-ES"/>
        </w:rPr>
        <w:t>. ESF Éditeur.</w:t>
      </w:r>
    </w:p>
    <w:p w14:paraId="12A629E9"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Morin, E., y Kern, A. B.</w:t>
      </w:r>
      <w:r w:rsidRPr="00C01704">
        <w:rPr>
          <w:rFonts w:ascii="Gadugi" w:hAnsi="Gadugi"/>
          <w:sz w:val="18"/>
          <w:szCs w:val="18"/>
          <w:lang w:val="es-ES"/>
        </w:rPr>
        <w:t xml:space="preserve"> (1993). </w:t>
      </w:r>
      <w:r w:rsidRPr="00C01704">
        <w:rPr>
          <w:rFonts w:ascii="Gadugi" w:hAnsi="Gadugi"/>
          <w:i/>
          <w:iCs/>
          <w:sz w:val="18"/>
          <w:szCs w:val="18"/>
          <w:lang w:val="es-ES"/>
        </w:rPr>
        <w:t>Tierra patria</w:t>
      </w:r>
      <w:r w:rsidRPr="00C01704">
        <w:rPr>
          <w:rFonts w:ascii="Gadugi" w:hAnsi="Gadugi"/>
          <w:sz w:val="18"/>
          <w:szCs w:val="18"/>
          <w:lang w:val="es-ES"/>
        </w:rPr>
        <w:t>. Kairós.</w:t>
      </w:r>
    </w:p>
    <w:p w14:paraId="0BA279D5"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Ringelmann, M.</w:t>
      </w:r>
      <w:r w:rsidRPr="00C01704">
        <w:rPr>
          <w:rFonts w:ascii="Gadugi" w:hAnsi="Gadugi"/>
          <w:sz w:val="18"/>
          <w:szCs w:val="18"/>
          <w:lang w:val="es-ES"/>
        </w:rPr>
        <w:t xml:space="preserve"> (1913). </w:t>
      </w:r>
      <w:r w:rsidRPr="00C01704">
        <w:rPr>
          <w:rFonts w:ascii="Gadugi" w:hAnsi="Gadugi"/>
          <w:i/>
          <w:iCs/>
          <w:sz w:val="18"/>
          <w:szCs w:val="18"/>
          <w:lang w:val="es-ES"/>
        </w:rPr>
        <w:t>Recherches sur les moteurs animés: Travail de l’homme</w:t>
      </w:r>
      <w:r w:rsidRPr="00C01704">
        <w:rPr>
          <w:rFonts w:ascii="Gadugi" w:hAnsi="Gadugi"/>
          <w:sz w:val="18"/>
          <w:szCs w:val="18"/>
          <w:lang w:val="es-ES"/>
        </w:rPr>
        <w:t xml:space="preserve">. </w:t>
      </w:r>
      <w:r w:rsidRPr="00C01704">
        <w:rPr>
          <w:rFonts w:ascii="Gadugi" w:hAnsi="Gadugi"/>
          <w:i/>
          <w:iCs/>
          <w:sz w:val="18"/>
          <w:szCs w:val="18"/>
          <w:lang w:val="es-ES"/>
        </w:rPr>
        <w:t>Annales de l’Institut National Agronomique</w:t>
      </w:r>
      <w:r w:rsidRPr="00C01704">
        <w:rPr>
          <w:rFonts w:ascii="Gadugi" w:hAnsi="Gadugi"/>
          <w:sz w:val="18"/>
          <w:szCs w:val="18"/>
          <w:lang w:val="es-ES"/>
        </w:rPr>
        <w:t>, 2e série, tome XII, 1-40.</w:t>
      </w:r>
    </w:p>
    <w:p w14:paraId="73289DF8"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Schalock, R. L., y Verdugo, M. Á.</w:t>
      </w:r>
      <w:r w:rsidRPr="00C01704">
        <w:rPr>
          <w:rFonts w:ascii="Gadugi" w:hAnsi="Gadugi"/>
          <w:sz w:val="18"/>
          <w:szCs w:val="18"/>
          <w:lang w:val="es-ES"/>
        </w:rPr>
        <w:t xml:space="preserve"> (2002). </w:t>
      </w:r>
      <w:r w:rsidRPr="00C01704">
        <w:rPr>
          <w:rFonts w:ascii="Gadugi" w:hAnsi="Gadugi"/>
          <w:i/>
          <w:iCs/>
          <w:sz w:val="18"/>
          <w:szCs w:val="18"/>
          <w:lang w:val="es-ES"/>
        </w:rPr>
        <w:t>Handbook on quality of life for human service practitioners</w:t>
      </w:r>
      <w:r w:rsidRPr="00C01704">
        <w:rPr>
          <w:rFonts w:ascii="Gadugi" w:hAnsi="Gadugi"/>
          <w:sz w:val="18"/>
          <w:szCs w:val="18"/>
          <w:lang w:val="es-ES"/>
        </w:rPr>
        <w:t>. American Association on Mental Retardation.</w:t>
      </w:r>
    </w:p>
    <w:p w14:paraId="784118C5"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Schalock, R. L., y Verdugo, M. Á.</w:t>
      </w:r>
      <w:r w:rsidRPr="00C01704">
        <w:rPr>
          <w:rFonts w:ascii="Gadugi" w:hAnsi="Gadugi"/>
          <w:sz w:val="18"/>
          <w:szCs w:val="18"/>
          <w:lang w:val="es-ES"/>
        </w:rPr>
        <w:t xml:space="preserve"> (2012). </w:t>
      </w:r>
      <w:r w:rsidRPr="00C01704">
        <w:rPr>
          <w:rFonts w:ascii="Gadugi" w:hAnsi="Gadugi"/>
          <w:i/>
          <w:iCs/>
          <w:sz w:val="18"/>
          <w:szCs w:val="18"/>
          <w:lang w:val="es-ES"/>
        </w:rPr>
        <w:t>A leadership guide to transforming human services organizations and systems</w:t>
      </w:r>
      <w:r w:rsidRPr="00C01704">
        <w:rPr>
          <w:rFonts w:ascii="Gadugi" w:hAnsi="Gadugi"/>
          <w:sz w:val="18"/>
          <w:szCs w:val="18"/>
          <w:lang w:val="es-ES"/>
        </w:rPr>
        <w:t>. Brookes.</w:t>
      </w:r>
    </w:p>
    <w:p w14:paraId="74602A22"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Schalock, R. L., y Verdugo, M. Á.</w:t>
      </w:r>
      <w:r w:rsidRPr="00C01704">
        <w:rPr>
          <w:rFonts w:ascii="Gadugi" w:hAnsi="Gadugi"/>
          <w:sz w:val="18"/>
          <w:szCs w:val="18"/>
          <w:lang w:val="es-ES"/>
        </w:rPr>
        <w:t xml:space="preserve"> (2013). </w:t>
      </w:r>
      <w:r w:rsidRPr="00C01704">
        <w:rPr>
          <w:rFonts w:ascii="Gadugi" w:hAnsi="Gadugi"/>
          <w:i/>
          <w:iCs/>
          <w:sz w:val="18"/>
          <w:szCs w:val="18"/>
          <w:lang w:val="es-ES"/>
        </w:rPr>
        <w:t>El cambio en las organizaciones de discapacidad. Estrategias para superar sus retos y hacerlo realidad</w:t>
      </w:r>
      <w:r w:rsidRPr="00C01704">
        <w:rPr>
          <w:rFonts w:ascii="Gadugi" w:hAnsi="Gadugi"/>
          <w:sz w:val="18"/>
          <w:szCs w:val="18"/>
          <w:lang w:val="es-ES"/>
        </w:rPr>
        <w:t>. Alianza Editorial.</w:t>
      </w:r>
    </w:p>
    <w:p w14:paraId="283D6233"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Schalock, R. L., Luckasson, R., Tassé, M. J., y Shogren, K. A.</w:t>
      </w:r>
      <w:r w:rsidRPr="00C01704">
        <w:rPr>
          <w:rFonts w:ascii="Gadugi" w:hAnsi="Gadugi"/>
          <w:sz w:val="18"/>
          <w:szCs w:val="18"/>
          <w:lang w:val="es-ES"/>
        </w:rPr>
        <w:t xml:space="preserve"> (2022). The IDD paradigm of shared citizenship: Its operationalization, application, evaluation, and shaping for the future. </w:t>
      </w:r>
      <w:r w:rsidRPr="00C01704">
        <w:rPr>
          <w:rFonts w:ascii="Gadugi" w:hAnsi="Gadugi"/>
          <w:i/>
          <w:iCs/>
          <w:sz w:val="18"/>
          <w:szCs w:val="18"/>
          <w:lang w:val="es-ES"/>
        </w:rPr>
        <w:t>Intellectual and Developmental Disabilities, 60</w:t>
      </w:r>
      <w:r w:rsidRPr="00C01704">
        <w:rPr>
          <w:rFonts w:ascii="Gadugi" w:hAnsi="Gadugi"/>
          <w:sz w:val="18"/>
          <w:szCs w:val="18"/>
          <w:lang w:val="es-ES"/>
        </w:rPr>
        <w:t>(5), 426-443.</w:t>
      </w:r>
    </w:p>
    <w:p w14:paraId="55ECFE24"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Shogren, K. A., Luckasson, R., y Schalock, R. L.</w:t>
      </w:r>
      <w:r w:rsidRPr="00C01704">
        <w:rPr>
          <w:rFonts w:ascii="Gadugi" w:hAnsi="Gadugi"/>
          <w:sz w:val="18"/>
          <w:szCs w:val="18"/>
          <w:lang w:val="es-ES"/>
        </w:rPr>
        <w:t xml:space="preserve"> (2014). The definition of context and its application in the field of intellectual disability. </w:t>
      </w:r>
      <w:r w:rsidRPr="00C01704">
        <w:rPr>
          <w:rFonts w:ascii="Gadugi" w:hAnsi="Gadugi"/>
          <w:i/>
          <w:iCs/>
          <w:sz w:val="18"/>
          <w:szCs w:val="18"/>
          <w:lang w:val="es-ES"/>
        </w:rPr>
        <w:t>Journal of Policy and Practice in Intellectual Disabilities, 11</w:t>
      </w:r>
      <w:r w:rsidRPr="00C01704">
        <w:rPr>
          <w:rFonts w:ascii="Gadugi" w:hAnsi="Gadugi"/>
          <w:sz w:val="18"/>
          <w:szCs w:val="18"/>
          <w:lang w:val="es-ES"/>
        </w:rPr>
        <w:t>(2), 109-116.</w:t>
      </w:r>
    </w:p>
    <w:p w14:paraId="7FDE8D15"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Shogren, K. A., Schalock, R. L., y Luckasson, R.</w:t>
      </w:r>
      <w:r w:rsidRPr="00C01704">
        <w:rPr>
          <w:rFonts w:ascii="Gadugi" w:hAnsi="Gadugi"/>
          <w:sz w:val="18"/>
          <w:szCs w:val="18"/>
          <w:lang w:val="es-ES"/>
        </w:rPr>
        <w:t xml:space="preserve"> (2018). The use of a context-based change model to unfreeze the status quo and drive valued outcomes. </w:t>
      </w:r>
      <w:r w:rsidRPr="00C01704">
        <w:rPr>
          <w:rFonts w:ascii="Gadugi" w:hAnsi="Gadugi"/>
          <w:i/>
          <w:iCs/>
          <w:sz w:val="18"/>
          <w:szCs w:val="18"/>
          <w:lang w:val="es-ES"/>
        </w:rPr>
        <w:t>Journal of Policy and Practice in Intellectual Disabilities, 15</w:t>
      </w:r>
      <w:r w:rsidRPr="00C01704">
        <w:rPr>
          <w:rFonts w:ascii="Gadugi" w:hAnsi="Gadugi"/>
          <w:sz w:val="18"/>
          <w:szCs w:val="18"/>
          <w:lang w:val="es-ES"/>
        </w:rPr>
        <w:t>(2), 101-109.</w:t>
      </w:r>
    </w:p>
    <w:p w14:paraId="17D74EF3"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lastRenderedPageBreak/>
        <w:t>Shogren, K. A., Luckasson, R., y Schalock, R. L.</w:t>
      </w:r>
      <w:r w:rsidRPr="00C01704">
        <w:rPr>
          <w:rFonts w:ascii="Gadugi" w:hAnsi="Gadugi"/>
          <w:sz w:val="18"/>
          <w:szCs w:val="18"/>
          <w:lang w:val="es-ES"/>
        </w:rPr>
        <w:t xml:space="preserve"> (2020). Using a multi-dimensional model to analyze context and enhance personal outcomes. </w:t>
      </w:r>
      <w:r w:rsidRPr="00C01704">
        <w:rPr>
          <w:rFonts w:ascii="Gadugi" w:hAnsi="Gadugi"/>
          <w:i/>
          <w:iCs/>
          <w:sz w:val="18"/>
          <w:szCs w:val="18"/>
          <w:lang w:val="es-ES"/>
        </w:rPr>
        <w:t>Intellectual and Developmental Disabilities, 58</w:t>
      </w:r>
      <w:r w:rsidRPr="00C01704">
        <w:rPr>
          <w:rFonts w:ascii="Gadugi" w:hAnsi="Gadugi"/>
          <w:sz w:val="18"/>
          <w:szCs w:val="18"/>
          <w:lang w:val="es-ES"/>
        </w:rPr>
        <w:t>(2), 95-110.</w:t>
      </w:r>
    </w:p>
    <w:p w14:paraId="39FC7E8B"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Shogren, K. A., Luckasson, R., y Schalock, R. L.</w:t>
      </w:r>
      <w:r w:rsidRPr="00C01704">
        <w:rPr>
          <w:rFonts w:ascii="Gadugi" w:hAnsi="Gadugi"/>
          <w:sz w:val="18"/>
          <w:szCs w:val="18"/>
          <w:lang w:val="es-ES"/>
        </w:rPr>
        <w:t xml:space="preserve"> (2021). Leveraging the power of context in disability policy development, implementation, and evaluation: Multiple applications to enhance personal outcomes. </w:t>
      </w:r>
      <w:r w:rsidRPr="00C01704">
        <w:rPr>
          <w:rFonts w:ascii="Gadugi" w:hAnsi="Gadugi"/>
          <w:i/>
          <w:iCs/>
          <w:sz w:val="18"/>
          <w:szCs w:val="18"/>
          <w:lang w:val="es-ES"/>
        </w:rPr>
        <w:t>Journal of Disability Policy Studies, 31</w:t>
      </w:r>
      <w:r w:rsidRPr="00C01704">
        <w:rPr>
          <w:rFonts w:ascii="Gadugi" w:hAnsi="Gadugi"/>
          <w:sz w:val="18"/>
          <w:szCs w:val="18"/>
          <w:lang w:val="es-ES"/>
        </w:rPr>
        <w:t>(4), 230-243.</w:t>
      </w:r>
    </w:p>
    <w:p w14:paraId="268F722A"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Snowden, D. J., y Boone, M. E.</w:t>
      </w:r>
      <w:r w:rsidRPr="00C01704">
        <w:rPr>
          <w:rFonts w:ascii="Gadugi" w:hAnsi="Gadugi"/>
          <w:sz w:val="18"/>
          <w:szCs w:val="18"/>
          <w:lang w:val="es-ES"/>
        </w:rPr>
        <w:t xml:space="preserve"> (2007). A leader’s framework for decision making. </w:t>
      </w:r>
      <w:r w:rsidRPr="00C01704">
        <w:rPr>
          <w:rFonts w:ascii="Gadugi" w:hAnsi="Gadugi"/>
          <w:i/>
          <w:iCs/>
          <w:sz w:val="18"/>
          <w:szCs w:val="18"/>
          <w:lang w:val="es-ES"/>
        </w:rPr>
        <w:t>Harvard Business Review, 85</w:t>
      </w:r>
      <w:r w:rsidRPr="00C01704">
        <w:rPr>
          <w:rFonts w:ascii="Gadugi" w:hAnsi="Gadugi"/>
          <w:sz w:val="18"/>
          <w:szCs w:val="18"/>
          <w:lang w:val="es-ES"/>
        </w:rPr>
        <w:t>(11), 68-76.</w:t>
      </w:r>
    </w:p>
    <w:p w14:paraId="681B7CAA"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Tamarit Cuadrado, J.</w:t>
      </w:r>
      <w:r w:rsidRPr="00C01704">
        <w:rPr>
          <w:rFonts w:ascii="Gadugi" w:hAnsi="Gadugi"/>
          <w:sz w:val="18"/>
          <w:szCs w:val="18"/>
          <w:lang w:val="es-ES"/>
        </w:rPr>
        <w:t xml:space="preserve"> (2024). Sobre el contexto. Apuntes para un marco conceptual. </w:t>
      </w:r>
      <w:r w:rsidRPr="00C01704">
        <w:rPr>
          <w:rFonts w:ascii="Gadugi" w:hAnsi="Gadugi"/>
          <w:i/>
          <w:iCs/>
          <w:sz w:val="18"/>
          <w:szCs w:val="18"/>
          <w:lang w:val="es-ES"/>
        </w:rPr>
        <w:t>Siglo Cero, 55</w:t>
      </w:r>
      <w:r w:rsidRPr="00C01704">
        <w:rPr>
          <w:rFonts w:ascii="Gadugi" w:hAnsi="Gadugi"/>
          <w:sz w:val="18"/>
          <w:szCs w:val="18"/>
          <w:lang w:val="es-ES"/>
        </w:rPr>
        <w:t>(3), 11-27.</w:t>
      </w:r>
    </w:p>
    <w:p w14:paraId="018A6392"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Verdugo Alonso, M. Á.</w:t>
      </w:r>
      <w:r w:rsidRPr="00C01704">
        <w:rPr>
          <w:rFonts w:ascii="Gadugi" w:hAnsi="Gadugi"/>
          <w:sz w:val="18"/>
          <w:szCs w:val="18"/>
          <w:lang w:val="es-ES"/>
        </w:rPr>
        <w:t xml:space="preserve"> (2025). La construcción de una sociedad inclusiva. </w:t>
      </w:r>
      <w:r w:rsidRPr="00C01704">
        <w:rPr>
          <w:rFonts w:ascii="Gadugi" w:hAnsi="Gadugi"/>
          <w:i/>
          <w:iCs/>
          <w:sz w:val="18"/>
          <w:szCs w:val="18"/>
          <w:lang w:val="es-ES"/>
        </w:rPr>
        <w:t>Siglo Cero, 56</w:t>
      </w:r>
      <w:r w:rsidRPr="00C01704">
        <w:rPr>
          <w:rFonts w:ascii="Gadugi" w:hAnsi="Gadugi"/>
          <w:sz w:val="18"/>
          <w:szCs w:val="18"/>
          <w:lang w:val="es-ES"/>
        </w:rPr>
        <w:t>(1), 19-29.</w:t>
      </w:r>
    </w:p>
    <w:p w14:paraId="351A9B67" w14:textId="77777777" w:rsidR="0049498C" w:rsidRPr="00C01704" w:rsidRDefault="0049498C" w:rsidP="0049498C">
      <w:pPr>
        <w:spacing w:after="0" w:line="240" w:lineRule="auto"/>
        <w:rPr>
          <w:rFonts w:ascii="Gadugi" w:hAnsi="Gadugi"/>
          <w:sz w:val="18"/>
          <w:szCs w:val="18"/>
          <w:lang w:val="es-ES"/>
        </w:rPr>
      </w:pPr>
      <w:r w:rsidRPr="00C01704">
        <w:rPr>
          <w:rFonts w:ascii="Gadugi" w:hAnsi="Gadugi"/>
          <w:b/>
          <w:bCs/>
          <w:sz w:val="18"/>
          <w:szCs w:val="18"/>
          <w:lang w:val="es-ES"/>
        </w:rPr>
        <w:t>Verdugo, M. Á., Schalock, R. L., y Gómez, L. E.</w:t>
      </w:r>
      <w:r w:rsidRPr="00C01704">
        <w:rPr>
          <w:rFonts w:ascii="Gadugi" w:hAnsi="Gadugi"/>
          <w:sz w:val="18"/>
          <w:szCs w:val="18"/>
          <w:lang w:val="es-ES"/>
        </w:rPr>
        <w:t xml:space="preserve"> (2021). El modelo de calidad de vida y apoyos: la unión tras veinticinco años de caminos paralelos. </w:t>
      </w:r>
      <w:r w:rsidRPr="00C01704">
        <w:rPr>
          <w:rFonts w:ascii="Gadugi" w:hAnsi="Gadugi"/>
          <w:i/>
          <w:iCs/>
          <w:sz w:val="18"/>
          <w:szCs w:val="18"/>
          <w:lang w:val="es-ES"/>
        </w:rPr>
        <w:t>Siglo Cero, 52</w:t>
      </w:r>
      <w:r w:rsidRPr="00C01704">
        <w:rPr>
          <w:rFonts w:ascii="Gadugi" w:hAnsi="Gadugi"/>
          <w:sz w:val="18"/>
          <w:szCs w:val="18"/>
          <w:lang w:val="es-ES"/>
        </w:rPr>
        <w:t>(3), 9-28.</w:t>
      </w:r>
    </w:p>
    <w:p w14:paraId="58C87D35" w14:textId="77777777" w:rsidR="0049498C" w:rsidRPr="00E31645" w:rsidRDefault="0049498C" w:rsidP="0049498C">
      <w:pPr>
        <w:rPr>
          <w:rFonts w:ascii="Gadugi" w:hAnsi="Gadugi"/>
          <w:sz w:val="18"/>
          <w:szCs w:val="18"/>
          <w:lang w:val="es-ES"/>
        </w:rPr>
      </w:pPr>
      <w:r w:rsidRPr="00C01704">
        <w:rPr>
          <w:rFonts w:ascii="Gadugi" w:hAnsi="Gadugi"/>
          <w:b/>
          <w:bCs/>
          <w:sz w:val="18"/>
          <w:szCs w:val="18"/>
          <w:lang w:val="es-ES"/>
        </w:rPr>
        <w:t>Verdugo, M. Á., Gómez, L. E., Schalock, R. L., y Navas, P.</w:t>
      </w:r>
      <w:r w:rsidRPr="00C01704">
        <w:rPr>
          <w:rFonts w:ascii="Gadugi" w:hAnsi="Gadugi"/>
          <w:sz w:val="18"/>
          <w:szCs w:val="18"/>
          <w:lang w:val="es-ES"/>
        </w:rPr>
        <w:t xml:space="preserve"> (2023). A systematic approach to implementing, evaluating, and sustaining the shared citizenship paradigm. </w:t>
      </w:r>
      <w:r w:rsidRPr="00C01704">
        <w:rPr>
          <w:rFonts w:ascii="Gadugi" w:hAnsi="Gadugi"/>
          <w:i/>
          <w:iCs/>
          <w:sz w:val="18"/>
          <w:szCs w:val="18"/>
          <w:lang w:val="es-ES"/>
        </w:rPr>
        <w:t>Behavioral Sciences, 13</w:t>
      </w:r>
      <w:r w:rsidRPr="00C01704">
        <w:rPr>
          <w:rFonts w:ascii="Gadugi" w:hAnsi="Gadugi"/>
          <w:sz w:val="18"/>
          <w:szCs w:val="18"/>
          <w:lang w:val="es-ES"/>
        </w:rPr>
        <w:t>(12), 970.</w:t>
      </w:r>
    </w:p>
    <w:p w14:paraId="7A0E9383" w14:textId="77777777" w:rsidR="0049498C" w:rsidRPr="00C01704" w:rsidRDefault="0049498C" w:rsidP="00AE0616">
      <w:pPr>
        <w:spacing w:after="0" w:line="240" w:lineRule="auto"/>
        <w:jc w:val="both"/>
        <w:rPr>
          <w:rFonts w:ascii="Gadugi" w:hAnsi="Gadugi"/>
          <w:sz w:val="18"/>
          <w:szCs w:val="18"/>
        </w:rPr>
      </w:pPr>
    </w:p>
    <w:p w14:paraId="4E179C68" w14:textId="77777777" w:rsidR="00634850" w:rsidRPr="00C01704" w:rsidRDefault="00634850" w:rsidP="00AE0616">
      <w:pPr>
        <w:spacing w:after="0" w:line="240" w:lineRule="auto"/>
        <w:jc w:val="both"/>
        <w:rPr>
          <w:rFonts w:ascii="Gadugi" w:hAnsi="Gadugi"/>
          <w:sz w:val="18"/>
          <w:szCs w:val="18"/>
        </w:rPr>
      </w:pPr>
      <w:r w:rsidRPr="00C01704">
        <w:rPr>
          <w:rFonts w:ascii="Gadugi" w:hAnsi="Gadugi"/>
          <w:sz w:val="18"/>
          <w:szCs w:val="18"/>
        </w:rPr>
        <w:br w:type="page"/>
      </w:r>
    </w:p>
    <w:sectPr w:rsidR="00634850" w:rsidRPr="00C01704" w:rsidSect="00857123">
      <w:pgSz w:w="12240" w:h="15840"/>
      <w:pgMar w:top="1152" w:right="1296" w:bottom="1523"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uerpo en alfa">
    <w:charset w:val="00"/>
    <w:family w:val="roman"/>
    <w:pitch w:val="default"/>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EA3D0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292160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E95FAB"/>
    <w:multiLevelType w:val="hybridMultilevel"/>
    <w:tmpl w:val="2048F674"/>
    <w:lvl w:ilvl="0" w:tplc="12BE537E">
      <w:start w:val="1"/>
      <w:numFmt w:val="decimal"/>
      <w:lvlText w:val="%1."/>
      <w:lvlJc w:val="left"/>
      <w:pPr>
        <w:tabs>
          <w:tab w:val="num" w:pos="360"/>
        </w:tabs>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B4D1734"/>
    <w:multiLevelType w:val="hybridMultilevel"/>
    <w:tmpl w:val="14A435D0"/>
    <w:lvl w:ilvl="0" w:tplc="04243F46">
      <w:start w:val="1"/>
      <w:numFmt w:val="decimal"/>
      <w:pStyle w:val="Listaconnmeros"/>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1C02FF"/>
    <w:multiLevelType w:val="hybridMultilevel"/>
    <w:tmpl w:val="67DE3468"/>
    <w:lvl w:ilvl="0" w:tplc="8784702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5425901">
    <w:abstractNumId w:val="1"/>
  </w:num>
  <w:num w:numId="2" w16cid:durableId="1898928663">
    <w:abstractNumId w:val="0"/>
  </w:num>
  <w:num w:numId="3" w16cid:durableId="1209031362">
    <w:abstractNumId w:val="2"/>
  </w:num>
  <w:num w:numId="4" w16cid:durableId="513497327">
    <w:abstractNumId w:val="4"/>
  </w:num>
  <w:num w:numId="5" w16cid:durableId="1450779762">
    <w:abstractNumId w:val="3"/>
  </w:num>
  <w:num w:numId="6" w16cid:durableId="806122973">
    <w:abstractNumId w:val="3"/>
    <w:lvlOverride w:ilvl="0">
      <w:startOverride w:val="1"/>
    </w:lvlOverride>
  </w:num>
  <w:num w:numId="7" w16cid:durableId="128057913">
    <w:abstractNumId w:val="3"/>
    <w:lvlOverride w:ilvl="0">
      <w:startOverride w:val="1"/>
    </w:lvlOverride>
  </w:num>
  <w:num w:numId="8" w16cid:durableId="735014033">
    <w:abstractNumId w:val="3"/>
    <w:lvlOverride w:ilvl="0">
      <w:startOverride w:val="1"/>
    </w:lvlOverride>
  </w:num>
  <w:num w:numId="9" w16cid:durableId="2093157645">
    <w:abstractNumId w:val="3"/>
    <w:lvlOverride w:ilvl="0">
      <w:startOverride w:val="1"/>
    </w:lvlOverride>
  </w:num>
  <w:num w:numId="10" w16cid:durableId="93953479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50"/>
    <w:rsid w:val="000037C3"/>
    <w:rsid w:val="00103400"/>
    <w:rsid w:val="001056C0"/>
    <w:rsid w:val="00185D6C"/>
    <w:rsid w:val="001B6EE0"/>
    <w:rsid w:val="00206A6E"/>
    <w:rsid w:val="003A63F0"/>
    <w:rsid w:val="003B3C75"/>
    <w:rsid w:val="0049498C"/>
    <w:rsid w:val="004C2AAB"/>
    <w:rsid w:val="00540649"/>
    <w:rsid w:val="00583C46"/>
    <w:rsid w:val="005B65F5"/>
    <w:rsid w:val="005F12F4"/>
    <w:rsid w:val="0062460F"/>
    <w:rsid w:val="00634850"/>
    <w:rsid w:val="00693791"/>
    <w:rsid w:val="006A742B"/>
    <w:rsid w:val="006F51DA"/>
    <w:rsid w:val="00754027"/>
    <w:rsid w:val="00770B10"/>
    <w:rsid w:val="007D0A92"/>
    <w:rsid w:val="00837D0E"/>
    <w:rsid w:val="00857123"/>
    <w:rsid w:val="00857C65"/>
    <w:rsid w:val="008C0C95"/>
    <w:rsid w:val="008E42C8"/>
    <w:rsid w:val="00AA5371"/>
    <w:rsid w:val="00AE0616"/>
    <w:rsid w:val="00B51123"/>
    <w:rsid w:val="00B61A85"/>
    <w:rsid w:val="00BA0CE4"/>
    <w:rsid w:val="00BA1E5B"/>
    <w:rsid w:val="00BE31B8"/>
    <w:rsid w:val="00BE7F15"/>
    <w:rsid w:val="00C01704"/>
    <w:rsid w:val="00C168C2"/>
    <w:rsid w:val="00C74114"/>
    <w:rsid w:val="00C80C64"/>
    <w:rsid w:val="00CB0F27"/>
    <w:rsid w:val="00CC552C"/>
    <w:rsid w:val="00CF0E3D"/>
    <w:rsid w:val="00D43AD1"/>
    <w:rsid w:val="00D753C6"/>
    <w:rsid w:val="00DD3E86"/>
    <w:rsid w:val="00DE17DB"/>
    <w:rsid w:val="00E71C0B"/>
    <w:rsid w:val="00EC058C"/>
    <w:rsid w:val="00F91ECD"/>
    <w:rsid w:val="00FA47FE"/>
    <w:rsid w:val="00FA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5DB0"/>
  <w15:chartTrackingRefBased/>
  <w15:docId w15:val="{635DB415-0CF8-6944-869F-509D9D0D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Cuerpo en alfa"/>
        <w:kern w:val="2"/>
        <w:sz w:val="22"/>
        <w:szCs w:val="22"/>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50"/>
    <w:pPr>
      <w:spacing w:after="200" w:line="276" w:lineRule="auto"/>
    </w:pPr>
    <w:rPr>
      <w:rFonts w:ascii="Aptos" w:eastAsia="Aptos" w:hAnsi="Aptos" w:cstheme="minorBidi"/>
      <w:kern w:val="0"/>
      <w:lang w:val="es-ES_tradnl"/>
      <w14:ligatures w14:val="none"/>
    </w:rPr>
  </w:style>
  <w:style w:type="paragraph" w:styleId="Ttulo1">
    <w:name w:val="heading 1"/>
    <w:basedOn w:val="Normal"/>
    <w:next w:val="Normal"/>
    <w:link w:val="Ttulo1Car"/>
    <w:uiPriority w:val="9"/>
    <w:qFormat/>
    <w:rsid w:val="00634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34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48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48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48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48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48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48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48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4850"/>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634850"/>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634850"/>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634850"/>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34850"/>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34850"/>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34850"/>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34850"/>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34850"/>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34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4850"/>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348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4850"/>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34850"/>
    <w:pPr>
      <w:spacing w:before="160"/>
      <w:jc w:val="center"/>
    </w:pPr>
    <w:rPr>
      <w:i/>
      <w:iCs/>
      <w:color w:val="404040" w:themeColor="text1" w:themeTint="BF"/>
    </w:rPr>
  </w:style>
  <w:style w:type="character" w:customStyle="1" w:styleId="CitaCar">
    <w:name w:val="Cita Car"/>
    <w:basedOn w:val="Fuentedeprrafopredeter"/>
    <w:link w:val="Cita"/>
    <w:uiPriority w:val="29"/>
    <w:rsid w:val="00634850"/>
    <w:rPr>
      <w:i/>
      <w:iCs/>
      <w:color w:val="404040" w:themeColor="text1" w:themeTint="BF"/>
      <w:lang w:val="es-ES_tradnl"/>
    </w:rPr>
  </w:style>
  <w:style w:type="paragraph" w:styleId="Prrafodelista">
    <w:name w:val="List Paragraph"/>
    <w:basedOn w:val="Normal"/>
    <w:uiPriority w:val="34"/>
    <w:qFormat/>
    <w:rsid w:val="00634850"/>
    <w:pPr>
      <w:ind w:left="720"/>
      <w:contextualSpacing/>
    </w:pPr>
  </w:style>
  <w:style w:type="character" w:styleId="nfasisintenso">
    <w:name w:val="Intense Emphasis"/>
    <w:basedOn w:val="Fuentedeprrafopredeter"/>
    <w:uiPriority w:val="21"/>
    <w:qFormat/>
    <w:rsid w:val="00634850"/>
    <w:rPr>
      <w:i/>
      <w:iCs/>
      <w:color w:val="0F4761" w:themeColor="accent1" w:themeShade="BF"/>
    </w:rPr>
  </w:style>
  <w:style w:type="paragraph" w:styleId="Citadestacada">
    <w:name w:val="Intense Quote"/>
    <w:basedOn w:val="Normal"/>
    <w:next w:val="Normal"/>
    <w:link w:val="CitadestacadaCar"/>
    <w:uiPriority w:val="30"/>
    <w:qFormat/>
    <w:rsid w:val="00634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4850"/>
    <w:rPr>
      <w:i/>
      <w:iCs/>
      <w:color w:val="0F4761" w:themeColor="accent1" w:themeShade="BF"/>
      <w:lang w:val="es-ES_tradnl"/>
    </w:rPr>
  </w:style>
  <w:style w:type="character" w:styleId="Referenciaintensa">
    <w:name w:val="Intense Reference"/>
    <w:basedOn w:val="Fuentedeprrafopredeter"/>
    <w:uiPriority w:val="32"/>
    <w:qFormat/>
    <w:rsid w:val="00634850"/>
    <w:rPr>
      <w:b/>
      <w:bCs/>
      <w:smallCaps/>
      <w:color w:val="0F4761" w:themeColor="accent1" w:themeShade="BF"/>
      <w:spacing w:val="5"/>
    </w:rPr>
  </w:style>
  <w:style w:type="paragraph" w:styleId="Listaconvietas">
    <w:name w:val="List Bullet"/>
    <w:basedOn w:val="Normal"/>
    <w:uiPriority w:val="99"/>
    <w:unhideWhenUsed/>
    <w:rsid w:val="00634850"/>
    <w:pPr>
      <w:numPr>
        <w:numId w:val="1"/>
      </w:numPr>
      <w:tabs>
        <w:tab w:val="clear" w:pos="360"/>
      </w:tabs>
      <w:ind w:left="0" w:firstLine="0"/>
      <w:contextualSpacing/>
    </w:pPr>
  </w:style>
  <w:style w:type="paragraph" w:styleId="Listaconnmeros">
    <w:name w:val="List Number"/>
    <w:basedOn w:val="Normal"/>
    <w:uiPriority w:val="99"/>
    <w:unhideWhenUsed/>
    <w:rsid w:val="00634850"/>
    <w:pPr>
      <w:numPr>
        <w:numId w:val="5"/>
      </w:numPr>
      <w:contextualSpacing/>
    </w:pPr>
  </w:style>
  <w:style w:type="paragraph" w:customStyle="1" w:styleId="p1">
    <w:name w:val="p1"/>
    <w:basedOn w:val="Normal"/>
    <w:rsid w:val="00770B10"/>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s2">
    <w:name w:val="s2"/>
    <w:basedOn w:val="Fuentedeprrafopredeter"/>
    <w:rsid w:val="00103400"/>
  </w:style>
  <w:style w:type="character" w:customStyle="1" w:styleId="apple-converted-space">
    <w:name w:val="apple-converted-space"/>
    <w:basedOn w:val="Fuentedeprrafopredeter"/>
    <w:rsid w:val="0010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FFE946FFAEE94E818EE6991FA960E7" ma:contentTypeVersion="17" ma:contentTypeDescription="Crear nuevo documento." ma:contentTypeScope="" ma:versionID="75bba8c75824ec46003d2d4f9c3aa2ab">
  <xsd:schema xmlns:xsd="http://www.w3.org/2001/XMLSchema" xmlns:xs="http://www.w3.org/2001/XMLSchema" xmlns:p="http://schemas.microsoft.com/office/2006/metadata/properties" xmlns:ns2="82417c0a-3772-4dc0-bb4c-d4ff146775cf" xmlns:ns3="eb6e109a-00e0-4bf8-904a-a2ce55f1d709" targetNamespace="http://schemas.microsoft.com/office/2006/metadata/properties" ma:root="true" ma:fieldsID="17ac8286ecf7837c14d7e81ef799e9fa" ns2:_="" ns3:_="">
    <xsd:import namespace="82417c0a-3772-4dc0-bb4c-d4ff146775cf"/>
    <xsd:import namespace="eb6e109a-00e0-4bf8-904a-a2ce55f1d7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7c0a-3772-4dc0-bb4c-d4ff1467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d4d60800-4623-4398-9b8d-2d75859b2f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e109a-00e0-4bf8-904a-a2ce55f1d709"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93c79fba-7c43-41a0-8e36-7e140abcc677}" ma:internalName="TaxCatchAll" ma:showField="CatchAllData" ma:web="eb6e109a-00e0-4bf8-904a-a2ce55f1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17c0a-3772-4dc0-bb4c-d4ff146775cf">
      <Terms xmlns="http://schemas.microsoft.com/office/infopath/2007/PartnerControls"/>
    </lcf76f155ced4ddcb4097134ff3c332f>
    <TaxCatchAll xmlns="eb6e109a-00e0-4bf8-904a-a2ce55f1d709" xsi:nil="true"/>
  </documentManagement>
</p:properties>
</file>

<file path=customXml/itemProps1.xml><?xml version="1.0" encoding="utf-8"?>
<ds:datastoreItem xmlns:ds="http://schemas.openxmlformats.org/officeDocument/2006/customXml" ds:itemID="{672CFD14-9013-450F-A3E9-226E789810D9}">
  <ds:schemaRefs>
    <ds:schemaRef ds:uri="http://schemas.microsoft.com/sharepoint/v3/contenttype/forms"/>
  </ds:schemaRefs>
</ds:datastoreItem>
</file>

<file path=customXml/itemProps2.xml><?xml version="1.0" encoding="utf-8"?>
<ds:datastoreItem xmlns:ds="http://schemas.openxmlformats.org/officeDocument/2006/customXml" ds:itemID="{74869CDA-382B-43A6-AC91-805BDB8B5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7c0a-3772-4dc0-bb4c-d4ff146775cf"/>
    <ds:schemaRef ds:uri="eb6e109a-00e0-4bf8-904a-a2ce55f1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80E38-7ECC-4682-8457-E1634189DFCB}">
  <ds:schemaRefs>
    <ds:schemaRef ds:uri="http://schemas.microsoft.com/office/2006/metadata/properties"/>
    <ds:schemaRef ds:uri="http://schemas.microsoft.com/office/infopath/2007/PartnerControls"/>
    <ds:schemaRef ds:uri="82417c0a-3772-4dc0-bb4c-d4ff146775cf"/>
    <ds:schemaRef ds:uri="eb6e109a-00e0-4bf8-904a-a2ce55f1d709"/>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9</Pages>
  <Words>4559</Words>
  <Characters>25078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Aradillas</dc:creator>
  <cp:keywords/>
  <dc:description/>
  <cp:lastModifiedBy>Gerencia</cp:lastModifiedBy>
  <cp:revision>31</cp:revision>
  <dcterms:created xsi:type="dcterms:W3CDTF">2026-07-04T15:24:00Z</dcterms:created>
  <dcterms:modified xsi:type="dcterms:W3CDTF">2026-07-05T18:28:00Z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0x01010027FFE946FFAEE94E818EE6991FA960E7</vt:lpwstr>
  </property>
  <property fmtid="{D5CDD505-2E9C-101B-9397-08002B2CF9AE}" pid="3" name="MediaServiceImageTags">
    <vt:lpwstr/>
  </property>
</Properties>
</file>