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0CDF" w14:textId="77777777" w:rsidR="005B6108" w:rsidRPr="000A6B2C" w:rsidRDefault="005B6108" w:rsidP="005B6108">
      <w:pPr>
        <w:rPr>
          <w:b/>
          <w:bCs/>
          <w:sz w:val="24"/>
          <w:szCs w:val="24"/>
        </w:rPr>
      </w:pPr>
    </w:p>
    <w:p w14:paraId="076851EF" w14:textId="697CA8E9" w:rsidR="005B6108" w:rsidRPr="000A6B2C" w:rsidRDefault="003D6E64" w:rsidP="005B6108">
      <w:pPr>
        <w:rPr>
          <w:b/>
          <w:bCs/>
          <w:sz w:val="24"/>
          <w:szCs w:val="24"/>
        </w:rPr>
      </w:pPr>
      <w:r>
        <w:rPr>
          <w:b/>
          <w:bCs/>
          <w:sz w:val="24"/>
          <w:szCs w:val="24"/>
        </w:rPr>
        <w:t>NOS ABRIMOS PARA MEJORAR</w:t>
      </w:r>
      <w:r w:rsidR="00B0388D">
        <w:rPr>
          <w:b/>
          <w:bCs/>
          <w:sz w:val="24"/>
          <w:szCs w:val="24"/>
        </w:rPr>
        <w:t>.</w:t>
      </w:r>
      <w:r w:rsidR="00F73734">
        <w:rPr>
          <w:b/>
          <w:bCs/>
          <w:sz w:val="24"/>
          <w:szCs w:val="24"/>
        </w:rPr>
        <w:t xml:space="preserve">  </w:t>
      </w:r>
      <w:proofErr w:type="gramStart"/>
      <w:r w:rsidR="00F73734">
        <w:rPr>
          <w:b/>
          <w:bCs/>
          <w:sz w:val="24"/>
          <w:szCs w:val="24"/>
        </w:rPr>
        <w:t>sge</w:t>
      </w:r>
      <w:proofErr w:type="gramEnd"/>
      <w:r w:rsidR="00F73734">
        <w:rPr>
          <w:b/>
          <w:bCs/>
          <w:sz w:val="24"/>
          <w:szCs w:val="24"/>
        </w:rPr>
        <w:t>21</w:t>
      </w:r>
    </w:p>
    <w:p w14:paraId="71613B86" w14:textId="24BBF85D" w:rsidR="005B6108" w:rsidRPr="005B6108" w:rsidRDefault="009F4DB3" w:rsidP="005B6108">
      <w:r w:rsidRPr="02B9DE64">
        <w:rPr>
          <w:b/>
          <w:bCs/>
        </w:rPr>
        <w:t xml:space="preserve">1.- </w:t>
      </w:r>
      <w:r w:rsidR="005B6108" w:rsidRPr="02B9DE64">
        <w:rPr>
          <w:b/>
          <w:bCs/>
        </w:rPr>
        <w:t>Objetivos de la práctica</w:t>
      </w:r>
    </w:p>
    <w:p w14:paraId="2EDF2216" w14:textId="33AC410B" w:rsidR="42EC6577" w:rsidRPr="00EC33DE" w:rsidRDefault="42EC6577" w:rsidP="02B9DE64">
      <w:pPr>
        <w:rPr>
          <w:rFonts w:eastAsiaTheme="minorEastAsia"/>
          <w:sz w:val="24"/>
          <w:szCs w:val="24"/>
        </w:rPr>
      </w:pPr>
      <w:r w:rsidRPr="00EC33DE">
        <w:rPr>
          <w:rFonts w:eastAsiaTheme="minorEastAsia"/>
          <w:sz w:val="24"/>
          <w:szCs w:val="24"/>
        </w:rPr>
        <w:t>La práctica tiene como objetivo impulsar una transformación organizativa basada en el aprendizaje, la revisión crítica y la mejora continua mediante la implantación voluntaria del sistema de gestión ética y socialmente responsable SGE21, convirtiéndonos en la primera entidad española del ámbito de la discapacidad intelectual no federativa en obtener esta certificación europea.</w:t>
      </w:r>
    </w:p>
    <w:p w14:paraId="1372DE60" w14:textId="7C126724" w:rsidR="42EC6577" w:rsidRPr="00EC33DE" w:rsidRDefault="42EC6577" w:rsidP="02B9DE64">
      <w:pPr>
        <w:rPr>
          <w:rFonts w:eastAsiaTheme="minorEastAsia"/>
          <w:sz w:val="24"/>
          <w:szCs w:val="24"/>
        </w:rPr>
      </w:pPr>
      <w:r w:rsidRPr="00EC33DE">
        <w:rPr>
          <w:rFonts w:eastAsiaTheme="minorEastAsia"/>
          <w:sz w:val="24"/>
          <w:szCs w:val="24"/>
        </w:rPr>
        <w:t>Más allá de alcanzar un reconocimiento externo, el propósito ha sido incorporar una nueva manera de entender la organización: abrirla a la evaluación independiente, revisar de forma sistemática nuestros procesos, contrastarlos con estándares internacionales de buen gobierno y reforzar una cultura organizativa basada en la transparencia, la participación y la responsabilidad.</w:t>
      </w:r>
    </w:p>
    <w:p w14:paraId="20DEEEA7" w14:textId="3FB2C037" w:rsidR="42EC6577" w:rsidRPr="00EC33DE" w:rsidRDefault="42EC6577" w:rsidP="02B9DE64">
      <w:pPr>
        <w:rPr>
          <w:rFonts w:eastAsiaTheme="minorEastAsia"/>
          <w:sz w:val="24"/>
          <w:szCs w:val="24"/>
        </w:rPr>
      </w:pPr>
      <w:r w:rsidRPr="00EC33DE">
        <w:rPr>
          <w:rFonts w:eastAsiaTheme="minorEastAsia"/>
          <w:sz w:val="24"/>
          <w:szCs w:val="24"/>
        </w:rPr>
        <w:t>Los objetivos específicos han sido:</w:t>
      </w:r>
    </w:p>
    <w:p w14:paraId="5AA0CF51" w14:textId="0E6D44E3" w:rsidR="42EC6577" w:rsidRPr="00EC33DE" w:rsidRDefault="42EC6577" w:rsidP="02B9DE64">
      <w:pPr>
        <w:pStyle w:val="Prrafodelista"/>
        <w:numPr>
          <w:ilvl w:val="0"/>
          <w:numId w:val="2"/>
        </w:numPr>
        <w:tabs>
          <w:tab w:val="left" w:pos="0"/>
          <w:tab w:val="left" w:pos="720"/>
        </w:tabs>
        <w:rPr>
          <w:rFonts w:eastAsiaTheme="minorEastAsia"/>
          <w:sz w:val="24"/>
          <w:szCs w:val="24"/>
        </w:rPr>
      </w:pPr>
      <w:r w:rsidRPr="00EC33DE">
        <w:rPr>
          <w:rFonts w:eastAsiaTheme="minorEastAsia"/>
          <w:sz w:val="24"/>
          <w:szCs w:val="24"/>
        </w:rPr>
        <w:t>Promover una cultura permanente de aprendizaje y revisión organizativa.</w:t>
      </w:r>
    </w:p>
    <w:p w14:paraId="3AF0C704" w14:textId="563C0A8C" w:rsidR="42EC6577" w:rsidRPr="00EC33DE" w:rsidRDefault="42EC6577" w:rsidP="02B9DE64">
      <w:pPr>
        <w:pStyle w:val="Prrafodelista"/>
        <w:numPr>
          <w:ilvl w:val="0"/>
          <w:numId w:val="2"/>
        </w:numPr>
        <w:tabs>
          <w:tab w:val="left" w:pos="0"/>
          <w:tab w:val="left" w:pos="720"/>
        </w:tabs>
        <w:rPr>
          <w:rFonts w:eastAsiaTheme="minorEastAsia"/>
          <w:sz w:val="24"/>
          <w:szCs w:val="24"/>
        </w:rPr>
      </w:pPr>
      <w:r w:rsidRPr="00EC33DE">
        <w:rPr>
          <w:rFonts w:eastAsiaTheme="minorEastAsia"/>
          <w:sz w:val="24"/>
          <w:szCs w:val="24"/>
        </w:rPr>
        <w:t>Evaluar de manera objetiva el funcionamiento de la entidad mediante un estándar reconocido internacionalmente.</w:t>
      </w:r>
    </w:p>
    <w:p w14:paraId="0BA2071D" w14:textId="2B69B68B" w:rsidR="42EC6577" w:rsidRPr="00EC33DE" w:rsidRDefault="42EC6577" w:rsidP="02B9DE64">
      <w:pPr>
        <w:pStyle w:val="Prrafodelista"/>
        <w:numPr>
          <w:ilvl w:val="0"/>
          <w:numId w:val="2"/>
        </w:numPr>
        <w:tabs>
          <w:tab w:val="left" w:pos="0"/>
          <w:tab w:val="left" w:pos="720"/>
        </w:tabs>
        <w:rPr>
          <w:rFonts w:eastAsiaTheme="minorEastAsia"/>
          <w:sz w:val="24"/>
          <w:szCs w:val="24"/>
        </w:rPr>
      </w:pPr>
      <w:r w:rsidRPr="00EC33DE">
        <w:rPr>
          <w:rFonts w:eastAsiaTheme="minorEastAsia"/>
          <w:sz w:val="24"/>
          <w:szCs w:val="24"/>
        </w:rPr>
        <w:t>Incorporar mejoras en gobernanza, gestión de personas, relación con clientes, proveedores y resto de grupos de interés.</w:t>
      </w:r>
    </w:p>
    <w:p w14:paraId="39511F09" w14:textId="56A4BF38" w:rsidR="42EC6577" w:rsidRPr="00EC33DE" w:rsidRDefault="42EC6577" w:rsidP="02B9DE64">
      <w:pPr>
        <w:pStyle w:val="Prrafodelista"/>
        <w:numPr>
          <w:ilvl w:val="0"/>
          <w:numId w:val="2"/>
        </w:numPr>
        <w:tabs>
          <w:tab w:val="left" w:pos="0"/>
          <w:tab w:val="left" w:pos="720"/>
        </w:tabs>
        <w:rPr>
          <w:rFonts w:eastAsiaTheme="minorEastAsia"/>
          <w:sz w:val="24"/>
          <w:szCs w:val="24"/>
        </w:rPr>
      </w:pPr>
      <w:r w:rsidRPr="00EC33DE">
        <w:rPr>
          <w:rFonts w:eastAsiaTheme="minorEastAsia"/>
          <w:sz w:val="24"/>
          <w:szCs w:val="24"/>
        </w:rPr>
        <w:t>Consolidar un modelo de gestión alineado con criterios éticos, sociales y ambientales.</w:t>
      </w:r>
    </w:p>
    <w:p w14:paraId="77F364F6" w14:textId="7167A16A" w:rsidR="42EC6577" w:rsidRPr="00EC33DE" w:rsidRDefault="42EC6577" w:rsidP="02B9DE64">
      <w:pPr>
        <w:pStyle w:val="Prrafodelista"/>
        <w:numPr>
          <w:ilvl w:val="0"/>
          <w:numId w:val="2"/>
        </w:numPr>
        <w:tabs>
          <w:tab w:val="left" w:pos="0"/>
          <w:tab w:val="left" w:pos="720"/>
        </w:tabs>
        <w:rPr>
          <w:rFonts w:eastAsiaTheme="minorEastAsia"/>
          <w:sz w:val="24"/>
          <w:szCs w:val="24"/>
        </w:rPr>
      </w:pPr>
      <w:r w:rsidRPr="00EC33DE">
        <w:rPr>
          <w:rFonts w:eastAsiaTheme="minorEastAsia"/>
          <w:sz w:val="24"/>
          <w:szCs w:val="24"/>
        </w:rPr>
        <w:t>Generar confianza entre todas las personas vinculadas a la organización mediante la transparencia y la rendición de cuentas.</w:t>
      </w:r>
    </w:p>
    <w:p w14:paraId="2C417DDD" w14:textId="7A876836" w:rsidR="42EC6577" w:rsidRPr="00EC33DE" w:rsidRDefault="42EC6577" w:rsidP="02B9DE64">
      <w:pPr>
        <w:pStyle w:val="Prrafodelista"/>
        <w:numPr>
          <w:ilvl w:val="0"/>
          <w:numId w:val="2"/>
        </w:numPr>
        <w:tabs>
          <w:tab w:val="left" w:pos="0"/>
          <w:tab w:val="left" w:pos="720"/>
        </w:tabs>
        <w:rPr>
          <w:rFonts w:eastAsiaTheme="minorEastAsia"/>
          <w:sz w:val="24"/>
          <w:szCs w:val="24"/>
        </w:rPr>
      </w:pPr>
      <w:r w:rsidRPr="00EC33DE">
        <w:rPr>
          <w:rFonts w:eastAsiaTheme="minorEastAsia"/>
          <w:sz w:val="24"/>
          <w:szCs w:val="24"/>
        </w:rPr>
        <w:t>Convertir la mejora continua en una práctica estructural y no únicamente reactiva.</w:t>
      </w:r>
    </w:p>
    <w:p w14:paraId="3A35774B" w14:textId="77777777" w:rsidR="005B6108" w:rsidRPr="005B6108" w:rsidRDefault="005B6108" w:rsidP="005B6108"/>
    <w:p w14:paraId="5CC0F3A9" w14:textId="2282F668" w:rsidR="005B6108" w:rsidRPr="005B6108" w:rsidRDefault="009F4DB3" w:rsidP="005B6108">
      <w:pPr>
        <w:rPr>
          <w:b/>
          <w:bCs/>
        </w:rPr>
      </w:pPr>
      <w:r>
        <w:rPr>
          <w:b/>
          <w:bCs/>
        </w:rPr>
        <w:t xml:space="preserve">2.- </w:t>
      </w:r>
      <w:r w:rsidR="005B6108" w:rsidRPr="005B6108">
        <w:rPr>
          <w:b/>
          <w:bCs/>
        </w:rPr>
        <w:t xml:space="preserve">Desarrollo de la práctica </w:t>
      </w:r>
    </w:p>
    <w:p w14:paraId="5474C943" w14:textId="602D6409" w:rsidR="005B6108" w:rsidRPr="005B6108" w:rsidRDefault="2A1DC350" w:rsidP="02B9DE64">
      <w:pPr>
        <w:rPr>
          <w:rFonts w:ascii="Times New Roman" w:eastAsia="Times New Roman" w:hAnsi="Times New Roman" w:cs="Times New Roman"/>
          <w:sz w:val="24"/>
          <w:szCs w:val="24"/>
        </w:rPr>
      </w:pPr>
      <w:r w:rsidRPr="02B9DE64">
        <w:rPr>
          <w:rFonts w:eastAsiaTheme="minorEastAsia"/>
          <w:sz w:val="24"/>
          <w:szCs w:val="24"/>
        </w:rPr>
        <w:t>La iniciativa nace de una reflexión estratégica compartida por el equipo directivo y los órganos de gobierno acerca de cómo seguir evolucionando como organización en un contexto cada vez más exigente, donde las entidades sociales deben demostrar no sólo el impacto de su acción, sino también la calidad de su gestión.</w:t>
      </w:r>
    </w:p>
    <w:p w14:paraId="2B9BC776" w14:textId="3DCA8001" w:rsidR="005B6108" w:rsidRPr="005B6108" w:rsidRDefault="2A1DC350" w:rsidP="02B9DE64">
      <w:pPr>
        <w:rPr>
          <w:rFonts w:ascii="Times New Roman" w:eastAsia="Times New Roman" w:hAnsi="Times New Roman" w:cs="Times New Roman"/>
          <w:sz w:val="24"/>
          <w:szCs w:val="24"/>
        </w:rPr>
      </w:pPr>
      <w:r w:rsidRPr="02B9DE64">
        <w:rPr>
          <w:rFonts w:eastAsiaTheme="minorEastAsia"/>
          <w:sz w:val="24"/>
          <w:szCs w:val="24"/>
        </w:rPr>
        <w:t>Se tomó la decisión, totalmente voluntaria, de someternos a un proceso de certificación externa conforme al modelo SGE21. Este proceso supuso un ejercicio profundo de autoevaluación y revisión de todos los ámbitos de gestión de la organización.</w:t>
      </w:r>
    </w:p>
    <w:p w14:paraId="7A0F7079" w14:textId="4D519291" w:rsidR="005B6108" w:rsidRPr="005B6108" w:rsidRDefault="2A1DC350" w:rsidP="02B9DE64">
      <w:pPr>
        <w:rPr>
          <w:rFonts w:ascii="Times New Roman" w:eastAsia="Times New Roman" w:hAnsi="Times New Roman" w:cs="Times New Roman"/>
          <w:sz w:val="24"/>
          <w:szCs w:val="24"/>
        </w:rPr>
      </w:pPr>
      <w:r w:rsidRPr="02B9DE64">
        <w:rPr>
          <w:rFonts w:eastAsiaTheme="minorEastAsia"/>
          <w:sz w:val="24"/>
          <w:szCs w:val="24"/>
        </w:rPr>
        <w:t>Durante la implantación se analizaron políticas, procedimientos, sistemas de participación, mecanismos de gobierno, relación con proveedores, gestión de personas, cumplimiento normativo, sostenibilidad y diálogo con los grupos de interés.</w:t>
      </w:r>
    </w:p>
    <w:p w14:paraId="3A8191FD" w14:textId="77777777" w:rsidR="005E42D3" w:rsidRDefault="005E42D3" w:rsidP="02B9DE64">
      <w:pPr>
        <w:rPr>
          <w:rFonts w:eastAsiaTheme="minorEastAsia"/>
          <w:sz w:val="24"/>
          <w:szCs w:val="24"/>
        </w:rPr>
      </w:pPr>
    </w:p>
    <w:p w14:paraId="512D205E" w14:textId="1F4F266B" w:rsidR="005B6108" w:rsidRPr="005B6108" w:rsidRDefault="2A1DC350" w:rsidP="02B9DE64">
      <w:pPr>
        <w:rPr>
          <w:rFonts w:ascii="Times New Roman" w:eastAsia="Times New Roman" w:hAnsi="Times New Roman" w:cs="Times New Roman"/>
          <w:sz w:val="24"/>
          <w:szCs w:val="24"/>
        </w:rPr>
      </w:pPr>
      <w:r w:rsidRPr="02B9DE64">
        <w:rPr>
          <w:rFonts w:eastAsiaTheme="minorEastAsia"/>
          <w:sz w:val="24"/>
          <w:szCs w:val="24"/>
        </w:rPr>
        <w:t>El proyecto implicó la creación de la comisión de Responsabilidad Social, de la que forman parte:  Representantes de las personas atendidas, de las familias, de los/las profesionales, del Patronato e incluye toda la dirección de la entidad y diferentes áreas de la organización, inco</w:t>
      </w:r>
      <w:r w:rsidR="00B75A20">
        <w:rPr>
          <w:rFonts w:eastAsiaTheme="minorEastAsia"/>
          <w:sz w:val="24"/>
          <w:szCs w:val="24"/>
        </w:rPr>
        <w:t>r</w:t>
      </w:r>
      <w:r w:rsidRPr="02B9DE64">
        <w:rPr>
          <w:rFonts w:eastAsiaTheme="minorEastAsia"/>
          <w:sz w:val="24"/>
          <w:szCs w:val="24"/>
        </w:rPr>
        <w:t>porando un plan de mejoras derivadas de las auditorías internas y externas realizadas durante el proceso.</w:t>
      </w:r>
    </w:p>
    <w:p w14:paraId="31912E95" w14:textId="51D0659D" w:rsidR="005B6108" w:rsidRPr="005B6108" w:rsidRDefault="2A1DC350" w:rsidP="02B9DE64">
      <w:pPr>
        <w:rPr>
          <w:rFonts w:ascii="Times New Roman" w:eastAsia="Times New Roman" w:hAnsi="Times New Roman" w:cs="Times New Roman"/>
          <w:sz w:val="24"/>
          <w:szCs w:val="24"/>
        </w:rPr>
      </w:pPr>
      <w:r w:rsidRPr="02B9DE64">
        <w:rPr>
          <w:rFonts w:eastAsiaTheme="minorEastAsia"/>
          <w:sz w:val="24"/>
          <w:szCs w:val="24"/>
        </w:rPr>
        <w:t xml:space="preserve">Entre las principales dificultades destacan el esfuerzo de revisión documental, la adaptación de algunos procedimientos ya consolidados y el reto de incorporar una visión transversal de la responsabilidad social en toda la organización. La comisión está formada por 18 personas y ocasionalmente participan otros miembros, según el tema que se trata. Coordina el seguimiento de este plan de mejora, la responsable de Responsabilidad Social de la Fundación. </w:t>
      </w:r>
    </w:p>
    <w:p w14:paraId="535B276E" w14:textId="121F1BD7" w:rsidR="005B6108" w:rsidRPr="005B6108" w:rsidRDefault="2A1DC350" w:rsidP="02B9DE64">
      <w:pPr>
        <w:rPr>
          <w:rFonts w:ascii="Times New Roman" w:eastAsia="Times New Roman" w:hAnsi="Times New Roman" w:cs="Times New Roman"/>
          <w:sz w:val="24"/>
          <w:szCs w:val="24"/>
        </w:rPr>
      </w:pPr>
      <w:r w:rsidRPr="02B9DE64">
        <w:rPr>
          <w:rFonts w:eastAsiaTheme="minorEastAsia"/>
          <w:sz w:val="24"/>
          <w:szCs w:val="24"/>
        </w:rPr>
        <w:t xml:space="preserve">Sin embargo, estas dificultades se fueron transformando en oportunidades de aprendizaje, permitiendo identificar áreas de mejora que no habrían emergido mediante una revisión exclusivamente interna. </w:t>
      </w:r>
    </w:p>
    <w:p w14:paraId="471E274D" w14:textId="1A03E37A" w:rsidR="005B6108" w:rsidRPr="005B6108" w:rsidRDefault="2A1DC350" w:rsidP="02B9DE64">
      <w:pPr>
        <w:rPr>
          <w:rFonts w:ascii="Times New Roman" w:eastAsia="Times New Roman" w:hAnsi="Times New Roman" w:cs="Times New Roman"/>
          <w:sz w:val="24"/>
          <w:szCs w:val="24"/>
        </w:rPr>
      </w:pPr>
      <w:r w:rsidRPr="02B9DE64">
        <w:rPr>
          <w:rFonts w:eastAsiaTheme="minorEastAsia"/>
          <w:sz w:val="24"/>
          <w:szCs w:val="24"/>
        </w:rPr>
        <w:t>Actualmente la certificación ha sido obtenida y su presentación pública está prevista para el próximo mes de octubre mediante un acto institucional y una rueda de prensa con la participación de la Administración, clientes, proveedores, personas atendidas, familias, profesionales y el resto de los grupos de interés. Por ello, la obtención del presente premio apoyaría públicamente esta actitud de rendición de cuentas y de mejora continua de las organizaciones sociales y nos haría mucha ilusión.</w:t>
      </w:r>
    </w:p>
    <w:p w14:paraId="44002FDA" w14:textId="76C67E72" w:rsidR="005B6108" w:rsidRPr="005B6108" w:rsidRDefault="005B6108" w:rsidP="005B6108"/>
    <w:p w14:paraId="47EA45F7" w14:textId="36AC676D" w:rsidR="005B6108" w:rsidRPr="005B6108" w:rsidRDefault="009F4DB3" w:rsidP="005B6108">
      <w:pPr>
        <w:rPr>
          <w:b/>
          <w:bCs/>
        </w:rPr>
      </w:pPr>
      <w:r w:rsidRPr="02B9DE64">
        <w:rPr>
          <w:b/>
          <w:bCs/>
        </w:rPr>
        <w:t>3.</w:t>
      </w:r>
      <w:r w:rsidR="000D41C3" w:rsidRPr="02B9DE64">
        <w:rPr>
          <w:b/>
          <w:bCs/>
        </w:rPr>
        <w:t xml:space="preserve">- </w:t>
      </w:r>
      <w:r w:rsidR="005B6108" w:rsidRPr="02B9DE64">
        <w:rPr>
          <w:b/>
          <w:bCs/>
        </w:rPr>
        <w:t>Método empleado para la puesta en marcha</w:t>
      </w:r>
    </w:p>
    <w:p w14:paraId="725C2CBF" w14:textId="70511E80" w:rsidR="005B6108" w:rsidRPr="005B6108" w:rsidRDefault="6AE18B7E" w:rsidP="02B9DE64">
      <w:pPr>
        <w:rPr>
          <w:rFonts w:eastAsiaTheme="minorEastAsia"/>
          <w:sz w:val="24"/>
          <w:szCs w:val="24"/>
        </w:rPr>
      </w:pPr>
      <w:r w:rsidRPr="02B9DE64">
        <w:rPr>
          <w:rFonts w:eastAsiaTheme="minorEastAsia"/>
          <w:sz w:val="24"/>
          <w:szCs w:val="24"/>
        </w:rPr>
        <w:t>La metodología seguida ha sido participativa, estructurada y basada en la mejora continua.</w:t>
      </w:r>
    </w:p>
    <w:p w14:paraId="6884BB1E" w14:textId="33736793" w:rsidR="005B6108" w:rsidRPr="005B6108" w:rsidRDefault="6AE18B7E" w:rsidP="02B9DE64">
      <w:pPr>
        <w:rPr>
          <w:rFonts w:eastAsiaTheme="minorEastAsia"/>
          <w:sz w:val="24"/>
          <w:szCs w:val="24"/>
        </w:rPr>
      </w:pPr>
      <w:r w:rsidRPr="02B9DE64">
        <w:rPr>
          <w:rFonts w:eastAsiaTheme="minorEastAsia"/>
          <w:sz w:val="24"/>
          <w:szCs w:val="24"/>
        </w:rPr>
        <w:t>Las principales fases fueron:</w:t>
      </w:r>
    </w:p>
    <w:p w14:paraId="72CFA795" w14:textId="7A17E47D"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Análisis inicial y diagnóstico organizativo.</w:t>
      </w:r>
    </w:p>
    <w:p w14:paraId="5EE02361" w14:textId="6D18AAD8"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Identificación de requisitos del estándar SGE21.</w:t>
      </w:r>
    </w:p>
    <w:p w14:paraId="298C1B6C" w14:textId="5E74EEEE"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Constitución del equipo impulsor. Comisión RSC.</w:t>
      </w:r>
    </w:p>
    <w:p w14:paraId="667F8C14" w14:textId="03A3AC73"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Revisión integral de procesos y procedimientos.</w:t>
      </w:r>
    </w:p>
    <w:p w14:paraId="2679B049" w14:textId="20B70A62"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Identificación de fortalezas y oportunidades de mejora.</w:t>
      </w:r>
    </w:p>
    <w:p w14:paraId="66E86BF8" w14:textId="62DBF378"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Elaboración e implantación de planes de acción.</w:t>
      </w:r>
    </w:p>
    <w:p w14:paraId="7C3330BB" w14:textId="6BB8418E"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Auditorías internas.</w:t>
      </w:r>
    </w:p>
    <w:p w14:paraId="08F46A57" w14:textId="46E2C131"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Auditoría externa independiente.</w:t>
      </w:r>
    </w:p>
    <w:p w14:paraId="76C43D43" w14:textId="2A8997CC"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Obtención de la certificación.</w:t>
      </w:r>
    </w:p>
    <w:p w14:paraId="779B0C66" w14:textId="592E371E" w:rsidR="005B6108" w:rsidRPr="005B6108" w:rsidRDefault="6AE18B7E" w:rsidP="02B9DE64">
      <w:pPr>
        <w:pStyle w:val="Prrafodelista"/>
        <w:numPr>
          <w:ilvl w:val="0"/>
          <w:numId w:val="11"/>
        </w:numPr>
        <w:tabs>
          <w:tab w:val="left" w:pos="0"/>
          <w:tab w:val="left" w:pos="720"/>
        </w:tabs>
        <w:rPr>
          <w:rFonts w:eastAsiaTheme="minorEastAsia"/>
          <w:sz w:val="24"/>
          <w:szCs w:val="24"/>
        </w:rPr>
      </w:pPr>
      <w:r w:rsidRPr="02B9DE64">
        <w:rPr>
          <w:rFonts w:eastAsiaTheme="minorEastAsia"/>
          <w:sz w:val="24"/>
          <w:szCs w:val="24"/>
        </w:rPr>
        <w:t>Establecimiento de mecanismos permanentes de seguimiento y revisión. Trello y herramienta de gestión de calidad.</w:t>
      </w:r>
    </w:p>
    <w:p w14:paraId="4E23129A" w14:textId="77777777" w:rsidR="005E42D3" w:rsidRDefault="005E42D3" w:rsidP="02B9DE64">
      <w:pPr>
        <w:rPr>
          <w:rFonts w:eastAsiaTheme="minorEastAsia"/>
          <w:sz w:val="24"/>
          <w:szCs w:val="24"/>
        </w:rPr>
      </w:pPr>
    </w:p>
    <w:p w14:paraId="7675DFFE" w14:textId="77777777" w:rsidR="005E42D3" w:rsidRDefault="005E42D3" w:rsidP="02B9DE64">
      <w:pPr>
        <w:rPr>
          <w:rFonts w:eastAsiaTheme="minorEastAsia"/>
          <w:sz w:val="24"/>
          <w:szCs w:val="24"/>
        </w:rPr>
      </w:pPr>
    </w:p>
    <w:p w14:paraId="79EA1027" w14:textId="328D6C06" w:rsidR="005B6108" w:rsidRPr="005B6108" w:rsidRDefault="6AE18B7E" w:rsidP="02B9DE64">
      <w:r w:rsidRPr="02B9DE64">
        <w:rPr>
          <w:rFonts w:eastAsiaTheme="minorEastAsia"/>
          <w:sz w:val="24"/>
          <w:szCs w:val="24"/>
        </w:rPr>
        <w:t>El proyecto se ha desarrollado siguiendo el ciclo de mejora continua (Planificar-Hacer-Verificar-Actuar), incorporando indicadores Smart y haciendo seguimiento bimensualmente del plan de trabajo y su avance con criterios de sostenibilidad.</w:t>
      </w:r>
    </w:p>
    <w:p w14:paraId="018AF504" w14:textId="7FB164AE" w:rsidR="005B6108" w:rsidRPr="005B6108" w:rsidRDefault="005B6108" w:rsidP="005B6108"/>
    <w:p w14:paraId="6901EA86" w14:textId="20DB3971" w:rsidR="005B6108" w:rsidRPr="005B6108" w:rsidRDefault="000D41C3" w:rsidP="000D41C3">
      <w:pPr>
        <w:rPr>
          <w:b/>
          <w:bCs/>
        </w:rPr>
      </w:pPr>
      <w:r>
        <w:t xml:space="preserve">4.- </w:t>
      </w:r>
      <w:r w:rsidR="005B6108" w:rsidRPr="005B6108">
        <w:rPr>
          <w:b/>
          <w:bCs/>
        </w:rPr>
        <w:t xml:space="preserve">Principales resultados obtenidos. </w:t>
      </w:r>
    </w:p>
    <w:p w14:paraId="2864E7A1" w14:textId="7D88B260" w:rsidR="1F091066" w:rsidRDefault="1F091066" w:rsidP="02B9DE64">
      <w:pPr>
        <w:spacing w:before="240" w:after="240"/>
        <w:rPr>
          <w:rFonts w:eastAsiaTheme="minorEastAsia"/>
          <w:sz w:val="24"/>
          <w:szCs w:val="24"/>
        </w:rPr>
      </w:pPr>
      <w:r w:rsidRPr="02B9DE64">
        <w:rPr>
          <w:rFonts w:eastAsiaTheme="minorEastAsia"/>
          <w:sz w:val="24"/>
          <w:szCs w:val="24"/>
        </w:rPr>
        <w:t>La implantación de la certificación SGE21 no se ha abordado como un proyecto aislado ni como un proceso orientado exclusivamente a obtener un sello de calidad. Ha supuesto una transformación organizativa integral, impulsada desde la Dirección y el Patronato, con el objetivo de revisar de forma crítica el funcionamiento de la Fundación y alinearlo con los más altos estándares europeos de gestión ética, responsabilidad social y buen gobierno.</w:t>
      </w:r>
    </w:p>
    <w:p w14:paraId="45BC17AC" w14:textId="21F4B8EF" w:rsidR="1F091066" w:rsidRDefault="1F091066" w:rsidP="02B9DE64">
      <w:pPr>
        <w:spacing w:before="240" w:after="240"/>
        <w:rPr>
          <w:rFonts w:eastAsiaTheme="minorEastAsia"/>
          <w:sz w:val="24"/>
          <w:szCs w:val="24"/>
        </w:rPr>
      </w:pPr>
      <w:r w:rsidRPr="02B9DE64">
        <w:rPr>
          <w:rFonts w:eastAsiaTheme="minorEastAsia"/>
          <w:sz w:val="24"/>
          <w:szCs w:val="24"/>
        </w:rPr>
        <w:t xml:space="preserve">El proyecto se ha desarrollado durante 2025 mediante una metodología estructurada, participativa y basada en el ciclo de mejora continua (Planificar-Hacer-Verificar-Actuar), incorporando la </w:t>
      </w:r>
      <w:proofErr w:type="gramStart"/>
      <w:r w:rsidRPr="02B9DE64">
        <w:rPr>
          <w:rFonts w:eastAsiaTheme="minorEastAsia"/>
          <w:sz w:val="24"/>
          <w:szCs w:val="24"/>
        </w:rPr>
        <w:t>participación activa</w:t>
      </w:r>
      <w:proofErr w:type="gramEnd"/>
      <w:r w:rsidRPr="02B9DE64">
        <w:rPr>
          <w:rFonts w:eastAsiaTheme="minorEastAsia"/>
          <w:sz w:val="24"/>
          <w:szCs w:val="24"/>
        </w:rPr>
        <w:t xml:space="preserve"> de profesionales, personas atendidas, familias, Patronato, proveedores y otros grupos de interés.</w:t>
      </w:r>
    </w:p>
    <w:p w14:paraId="4BB85388" w14:textId="0673BD4D" w:rsidR="1F091066" w:rsidRDefault="1F091066" w:rsidP="02B9DE64">
      <w:pPr>
        <w:spacing w:before="240" w:after="240"/>
        <w:rPr>
          <w:rFonts w:eastAsiaTheme="minorEastAsia"/>
          <w:sz w:val="24"/>
          <w:szCs w:val="24"/>
        </w:rPr>
      </w:pPr>
      <w:r w:rsidRPr="02B9DE64">
        <w:rPr>
          <w:rFonts w:eastAsiaTheme="minorEastAsia"/>
          <w:sz w:val="24"/>
          <w:szCs w:val="24"/>
        </w:rPr>
        <w:t>Las principales fases del proceso han sido:</w:t>
      </w:r>
    </w:p>
    <w:p w14:paraId="21BFA52E" w14:textId="34FCD01E" w:rsidR="1F091066" w:rsidRDefault="009A684F" w:rsidP="02B9DE64">
      <w:pPr>
        <w:spacing w:before="240" w:after="240"/>
        <w:rPr>
          <w:rFonts w:eastAsiaTheme="minorEastAsia"/>
          <w:sz w:val="24"/>
          <w:szCs w:val="24"/>
        </w:rPr>
      </w:pPr>
      <w:r>
        <w:rPr>
          <w:rFonts w:eastAsiaTheme="minorEastAsia"/>
          <w:sz w:val="24"/>
          <w:szCs w:val="24"/>
        </w:rPr>
        <w:t>4.</w:t>
      </w:r>
      <w:r w:rsidR="1F091066" w:rsidRPr="02B9DE64">
        <w:rPr>
          <w:rFonts w:eastAsiaTheme="minorEastAsia"/>
          <w:sz w:val="24"/>
          <w:szCs w:val="24"/>
        </w:rPr>
        <w:t>1. Diagnóstico y autoevaluación organizativa</w:t>
      </w:r>
    </w:p>
    <w:p w14:paraId="01A76190" w14:textId="1C6CCDB1" w:rsidR="1F091066" w:rsidRDefault="1F091066" w:rsidP="02B9DE64">
      <w:pPr>
        <w:spacing w:before="240" w:after="240"/>
        <w:rPr>
          <w:rFonts w:eastAsiaTheme="minorEastAsia"/>
          <w:sz w:val="24"/>
          <w:szCs w:val="24"/>
        </w:rPr>
      </w:pPr>
      <w:r w:rsidRPr="02B9DE64">
        <w:rPr>
          <w:rFonts w:eastAsiaTheme="minorEastAsia"/>
          <w:sz w:val="24"/>
          <w:szCs w:val="24"/>
        </w:rPr>
        <w:t>Se realizó una revisión exhaustiva del grado de cumplimiento de los requisitos de la norma SGE21, analizando la gobernanza, la gestión de personas, la relación con los grupos de interés, la sostenibilidad ambiental, el cumplimiento normativo, la transparencia, la comunicación y los procesos internos. Este ejercicio permitió identificar fortalezas, riesgos y oportunidades de mejora sobre las que construir el plan de transformación.</w:t>
      </w:r>
    </w:p>
    <w:p w14:paraId="634CE1E6" w14:textId="73113247" w:rsidR="1F091066" w:rsidRDefault="009A684F" w:rsidP="02B9DE64">
      <w:pPr>
        <w:spacing w:before="240" w:after="240"/>
        <w:rPr>
          <w:rFonts w:eastAsiaTheme="minorEastAsia"/>
          <w:sz w:val="24"/>
          <w:szCs w:val="24"/>
        </w:rPr>
      </w:pPr>
      <w:r>
        <w:rPr>
          <w:rFonts w:eastAsiaTheme="minorEastAsia"/>
          <w:sz w:val="24"/>
          <w:szCs w:val="24"/>
        </w:rPr>
        <w:t>4.</w:t>
      </w:r>
      <w:r w:rsidR="1F091066" w:rsidRPr="02B9DE64">
        <w:rPr>
          <w:rFonts w:eastAsiaTheme="minorEastAsia"/>
          <w:sz w:val="24"/>
          <w:szCs w:val="24"/>
        </w:rPr>
        <w:t>2. Definición del Plan de Responsabilidad Social</w:t>
      </w:r>
    </w:p>
    <w:p w14:paraId="7D07C4AF" w14:textId="27710973" w:rsidR="1F091066" w:rsidRDefault="1F091066" w:rsidP="02B9DE64">
      <w:pPr>
        <w:spacing w:before="240" w:after="240"/>
        <w:rPr>
          <w:rFonts w:eastAsiaTheme="minorEastAsia"/>
          <w:sz w:val="24"/>
          <w:szCs w:val="24"/>
        </w:rPr>
      </w:pPr>
      <w:r w:rsidRPr="02B9DE64">
        <w:rPr>
          <w:rFonts w:eastAsiaTheme="minorEastAsia"/>
          <w:sz w:val="24"/>
          <w:szCs w:val="24"/>
        </w:rPr>
        <w:t>A partir del diagnóstico se elaboró un Plan de Responsabilidad Social con objetivos, indicadores, responsables y calendario de implantación. Durante 2025 se alcanzó el 80 % de los objetivos previstos, completando 35 actuaciones estratégicas que han reforzado el modelo de gestión de la Fundación.</w:t>
      </w:r>
    </w:p>
    <w:p w14:paraId="2655286E" w14:textId="6DBA36A8" w:rsidR="1F091066" w:rsidRDefault="00841B4C" w:rsidP="02B9DE64">
      <w:pPr>
        <w:spacing w:before="240" w:after="240"/>
        <w:rPr>
          <w:rFonts w:eastAsiaTheme="minorEastAsia"/>
          <w:sz w:val="24"/>
          <w:szCs w:val="24"/>
        </w:rPr>
      </w:pPr>
      <w:r>
        <w:rPr>
          <w:rFonts w:eastAsiaTheme="minorEastAsia"/>
          <w:sz w:val="24"/>
          <w:szCs w:val="24"/>
        </w:rPr>
        <w:t>4</w:t>
      </w:r>
      <w:r w:rsidR="00260895">
        <w:rPr>
          <w:rFonts w:eastAsiaTheme="minorEastAsia"/>
          <w:sz w:val="24"/>
          <w:szCs w:val="24"/>
        </w:rPr>
        <w:t>.</w:t>
      </w:r>
      <w:r w:rsidR="1F091066" w:rsidRPr="02B9DE64">
        <w:rPr>
          <w:rFonts w:eastAsiaTheme="minorEastAsia"/>
          <w:sz w:val="24"/>
          <w:szCs w:val="24"/>
        </w:rPr>
        <w:t>3. Revisión y fortalecimiento del sistema de gobernanza</w:t>
      </w:r>
    </w:p>
    <w:p w14:paraId="3123F594" w14:textId="77777777" w:rsidR="0063772E" w:rsidRDefault="1F091066" w:rsidP="02B9DE64">
      <w:pPr>
        <w:spacing w:before="240" w:after="240"/>
        <w:rPr>
          <w:rFonts w:eastAsiaTheme="minorEastAsia"/>
          <w:sz w:val="24"/>
          <w:szCs w:val="24"/>
        </w:rPr>
      </w:pPr>
      <w:r w:rsidRPr="02B9DE64">
        <w:rPr>
          <w:rFonts w:eastAsiaTheme="minorEastAsia"/>
          <w:sz w:val="24"/>
          <w:szCs w:val="24"/>
        </w:rPr>
        <w:t xml:space="preserve">Uno de los principales esfuerzos se centró en actualizar el marco de buen gobierno de la organización. Se aprobaron o revisaron la Política de Sostenibilidad, las políticas de Derechos Humanos, Anticorrupción, Medio Ambiente y Gestión Integrada, el Código Ético en lectura fácil, el Código de Conducta —incorporando un régimen sancionador— y el Manual de Prevención de Delitos, consolidando así </w:t>
      </w:r>
    </w:p>
    <w:p w14:paraId="143DC86B" w14:textId="77777777" w:rsidR="0063772E" w:rsidRDefault="0063772E" w:rsidP="02B9DE64">
      <w:pPr>
        <w:spacing w:before="240" w:after="240"/>
        <w:rPr>
          <w:rFonts w:eastAsiaTheme="minorEastAsia"/>
          <w:sz w:val="24"/>
          <w:szCs w:val="24"/>
        </w:rPr>
      </w:pPr>
    </w:p>
    <w:p w14:paraId="581F8904" w14:textId="4B90FCC4" w:rsidR="1F091066" w:rsidRDefault="1F091066" w:rsidP="02B9DE64">
      <w:pPr>
        <w:spacing w:before="240" w:after="240"/>
        <w:rPr>
          <w:rFonts w:eastAsiaTheme="minorEastAsia"/>
          <w:sz w:val="24"/>
          <w:szCs w:val="24"/>
        </w:rPr>
      </w:pPr>
      <w:r w:rsidRPr="02B9DE64">
        <w:rPr>
          <w:rFonts w:eastAsiaTheme="minorEastAsia"/>
          <w:sz w:val="24"/>
          <w:szCs w:val="24"/>
        </w:rPr>
        <w:t>un sistema de cumplimiento normativo sólido y alineado con las mejores prácticas internacionales.</w:t>
      </w:r>
    </w:p>
    <w:p w14:paraId="0FBD8DE2" w14:textId="0DEB2C2A" w:rsidR="1F091066" w:rsidRDefault="1F091066" w:rsidP="02B9DE64">
      <w:pPr>
        <w:spacing w:before="240" w:after="240"/>
        <w:rPr>
          <w:rFonts w:eastAsiaTheme="minorEastAsia"/>
          <w:sz w:val="24"/>
          <w:szCs w:val="24"/>
        </w:rPr>
      </w:pPr>
      <w:r w:rsidRPr="02B9DE64">
        <w:rPr>
          <w:rFonts w:eastAsiaTheme="minorEastAsia"/>
          <w:sz w:val="24"/>
          <w:szCs w:val="24"/>
        </w:rPr>
        <w:t>4.</w:t>
      </w:r>
      <w:r w:rsidR="00260895">
        <w:rPr>
          <w:rFonts w:eastAsiaTheme="minorEastAsia"/>
          <w:sz w:val="24"/>
          <w:szCs w:val="24"/>
        </w:rPr>
        <w:t>4.</w:t>
      </w:r>
      <w:r w:rsidRPr="02B9DE64">
        <w:rPr>
          <w:rFonts w:eastAsiaTheme="minorEastAsia"/>
          <w:sz w:val="24"/>
          <w:szCs w:val="24"/>
        </w:rPr>
        <w:t xml:space="preserve"> </w:t>
      </w:r>
      <w:proofErr w:type="gramStart"/>
      <w:r w:rsidRPr="02B9DE64">
        <w:rPr>
          <w:rFonts w:eastAsiaTheme="minorEastAsia"/>
          <w:sz w:val="24"/>
          <w:szCs w:val="24"/>
        </w:rPr>
        <w:t>Participación activa</w:t>
      </w:r>
      <w:proofErr w:type="gramEnd"/>
      <w:r w:rsidRPr="02B9DE64">
        <w:rPr>
          <w:rFonts w:eastAsiaTheme="minorEastAsia"/>
          <w:sz w:val="24"/>
          <w:szCs w:val="24"/>
        </w:rPr>
        <w:t xml:space="preserve"> de los grupos de interés</w:t>
      </w:r>
    </w:p>
    <w:p w14:paraId="089082B0" w14:textId="1F39AF81" w:rsidR="1F091066" w:rsidRDefault="1F091066" w:rsidP="02B9DE64">
      <w:pPr>
        <w:spacing w:before="240" w:after="240"/>
        <w:rPr>
          <w:rFonts w:eastAsiaTheme="minorEastAsia"/>
          <w:sz w:val="24"/>
          <w:szCs w:val="24"/>
        </w:rPr>
      </w:pPr>
      <w:r w:rsidRPr="02B9DE64">
        <w:rPr>
          <w:rFonts w:eastAsiaTheme="minorEastAsia"/>
          <w:sz w:val="24"/>
          <w:szCs w:val="24"/>
        </w:rPr>
        <w:t xml:space="preserve">La transformación se diseñó desde una perspectiva participativa. Se incorporó a personas atendidas, familias, profesionales y Patronato al Comité de Responsabilidad Social, se </w:t>
      </w:r>
      <w:r w:rsidR="012DF937" w:rsidRPr="02B9DE64">
        <w:rPr>
          <w:rFonts w:eastAsiaTheme="minorEastAsia"/>
          <w:sz w:val="24"/>
          <w:szCs w:val="24"/>
        </w:rPr>
        <w:t>celebraron dos reuniones focales de participación con familias, clientes y proveedores</w:t>
      </w:r>
      <w:r w:rsidRPr="02B9DE64">
        <w:rPr>
          <w:rFonts w:eastAsiaTheme="minorEastAsia"/>
          <w:sz w:val="24"/>
          <w:szCs w:val="24"/>
        </w:rPr>
        <w:t xml:space="preserve"> y, como resultado de las aportaciones </w:t>
      </w:r>
      <w:r w:rsidR="69317945" w:rsidRPr="02B9DE64">
        <w:rPr>
          <w:rFonts w:eastAsiaTheme="minorEastAsia"/>
          <w:sz w:val="24"/>
          <w:szCs w:val="24"/>
        </w:rPr>
        <w:t>se trazarón nuevos objetivos, uno de ellos, como petición de</w:t>
      </w:r>
      <w:r w:rsidRPr="02B9DE64">
        <w:rPr>
          <w:rFonts w:eastAsiaTheme="minorEastAsia"/>
          <w:sz w:val="24"/>
          <w:szCs w:val="24"/>
        </w:rPr>
        <w:t xml:space="preserve"> las familias, se creó un nuevo Canal de Sugerencias. Además, se elaboró el primer Plan de Comunicación con los grupos de interés para reforzar el diálogo y la transparencia.</w:t>
      </w:r>
    </w:p>
    <w:p w14:paraId="3C26FE9F" w14:textId="25ADDB68" w:rsidR="1F091066" w:rsidRDefault="00260895" w:rsidP="02B9DE64">
      <w:pPr>
        <w:spacing w:before="240" w:after="240"/>
        <w:rPr>
          <w:rFonts w:eastAsiaTheme="minorEastAsia"/>
          <w:sz w:val="24"/>
          <w:szCs w:val="24"/>
        </w:rPr>
      </w:pPr>
      <w:r>
        <w:rPr>
          <w:rFonts w:eastAsiaTheme="minorEastAsia"/>
          <w:sz w:val="24"/>
          <w:szCs w:val="24"/>
        </w:rPr>
        <w:t>4.</w:t>
      </w:r>
      <w:r w:rsidR="1F091066" w:rsidRPr="02B9DE64">
        <w:rPr>
          <w:rFonts w:eastAsiaTheme="minorEastAsia"/>
          <w:sz w:val="24"/>
          <w:szCs w:val="24"/>
        </w:rPr>
        <w:t>5. Transformación de la gestión de personas</w:t>
      </w:r>
    </w:p>
    <w:p w14:paraId="3A1176B2" w14:textId="61886816" w:rsidR="1F091066" w:rsidRDefault="1F091066" w:rsidP="02B9DE64">
      <w:pPr>
        <w:spacing w:before="240" w:after="240"/>
        <w:rPr>
          <w:rFonts w:eastAsiaTheme="minorEastAsia"/>
          <w:sz w:val="24"/>
          <w:szCs w:val="24"/>
        </w:rPr>
      </w:pPr>
      <w:r w:rsidRPr="02B9DE64">
        <w:rPr>
          <w:rFonts w:eastAsiaTheme="minorEastAsia"/>
          <w:sz w:val="24"/>
          <w:szCs w:val="24"/>
        </w:rPr>
        <w:t>Se revisaron también los procesos vinculados al equipo humano, implantando un programa de acogida ("On Boarding") para todas las nuevas incorporaciones, iniciando la implantación de la plataforma PeopleNet para modernizar la gestión de personas y realizando cerca de 1.000 acciones formativas dirigidas a los profesionales. Paralelamente, se renovó el estudio de clima laboral y se devolvieron los resultados a los equipos para definir nuevas acciones de mejora.</w:t>
      </w:r>
    </w:p>
    <w:p w14:paraId="26BD4F91" w14:textId="019BD184" w:rsidR="1F091066" w:rsidRDefault="00260895" w:rsidP="02B9DE64">
      <w:pPr>
        <w:spacing w:before="240" w:after="240"/>
        <w:rPr>
          <w:rFonts w:eastAsiaTheme="minorEastAsia"/>
          <w:sz w:val="24"/>
          <w:szCs w:val="24"/>
        </w:rPr>
      </w:pPr>
      <w:r>
        <w:rPr>
          <w:rFonts w:eastAsiaTheme="minorEastAsia"/>
          <w:sz w:val="24"/>
          <w:szCs w:val="24"/>
        </w:rPr>
        <w:t>4.</w:t>
      </w:r>
      <w:r w:rsidR="1F091066" w:rsidRPr="02B9DE64">
        <w:rPr>
          <w:rFonts w:eastAsiaTheme="minorEastAsia"/>
          <w:sz w:val="24"/>
          <w:szCs w:val="24"/>
        </w:rPr>
        <w:t>6. Integración de la sostenibilidad ambiental</w:t>
      </w:r>
    </w:p>
    <w:p w14:paraId="2CB70161" w14:textId="318D5A18" w:rsidR="1F091066" w:rsidRDefault="1F091066" w:rsidP="02B9DE64">
      <w:pPr>
        <w:spacing w:before="240" w:after="240"/>
        <w:rPr>
          <w:rFonts w:eastAsiaTheme="minorEastAsia"/>
          <w:sz w:val="24"/>
          <w:szCs w:val="24"/>
        </w:rPr>
      </w:pPr>
      <w:r w:rsidRPr="02B9DE64">
        <w:rPr>
          <w:rFonts w:eastAsiaTheme="minorEastAsia"/>
          <w:sz w:val="24"/>
          <w:szCs w:val="24"/>
        </w:rPr>
        <w:t>La responsabilidad social se incorporó también a la gestión ambiental mediante la puesta en marcha del primer Plan Ambiental de la Fundación. Se inició el seguimiento sistemático de los consumos de agua y energía, se implantaron medidas de eficiencia energética, se sustituyeron calderas de gasóleo por sistemas de aerotermia, se adquirieron vehículos eléctricos, se instaló un punto de recarga y se realizaron actuaciones para mejorar la accesibilidad, el confort climático y la biodiversidad en los centros.</w:t>
      </w:r>
    </w:p>
    <w:p w14:paraId="40FFBCB8" w14:textId="0406B32E" w:rsidR="1F091066" w:rsidRDefault="00260895" w:rsidP="02B9DE64">
      <w:pPr>
        <w:spacing w:before="240" w:after="240"/>
        <w:rPr>
          <w:rFonts w:eastAsiaTheme="minorEastAsia"/>
          <w:sz w:val="24"/>
          <w:szCs w:val="24"/>
        </w:rPr>
      </w:pPr>
      <w:r>
        <w:rPr>
          <w:rFonts w:eastAsiaTheme="minorEastAsia"/>
          <w:sz w:val="24"/>
          <w:szCs w:val="24"/>
        </w:rPr>
        <w:t>4.</w:t>
      </w:r>
      <w:r w:rsidR="1F091066" w:rsidRPr="02B9DE64">
        <w:rPr>
          <w:rFonts w:eastAsiaTheme="minorEastAsia"/>
          <w:sz w:val="24"/>
          <w:szCs w:val="24"/>
        </w:rPr>
        <w:t>7. Sensibilización e impacto social</w:t>
      </w:r>
    </w:p>
    <w:p w14:paraId="3E48CCAC" w14:textId="6F584D40" w:rsidR="1F091066" w:rsidRDefault="1F091066" w:rsidP="02B9DE64">
      <w:pPr>
        <w:spacing w:before="240" w:after="240"/>
        <w:rPr>
          <w:rFonts w:eastAsiaTheme="minorEastAsia"/>
          <w:sz w:val="24"/>
          <w:szCs w:val="24"/>
        </w:rPr>
      </w:pPr>
      <w:r w:rsidRPr="02B9DE64">
        <w:rPr>
          <w:rFonts w:eastAsiaTheme="minorEastAsia"/>
          <w:sz w:val="24"/>
          <w:szCs w:val="24"/>
        </w:rPr>
        <w:t>El proyecto trascendió la organización mediante iniciativas de sensibilización como la campaña "Cada gesto cuenta", dedicada al reciclaje y la economía circular. Más de 400 personas visitaron la exposición, guiadas por personas con discapacidad intelectual formadas como Change Makers, reforzando un modelo donde las propias personas atendidas lideran acciones de concienciación social.</w:t>
      </w:r>
    </w:p>
    <w:p w14:paraId="5294DCBC" w14:textId="0395F5D1" w:rsidR="1F091066" w:rsidRDefault="00260895" w:rsidP="02B9DE64">
      <w:pPr>
        <w:spacing w:before="240" w:after="240"/>
        <w:rPr>
          <w:rFonts w:eastAsiaTheme="minorEastAsia"/>
          <w:sz w:val="24"/>
          <w:szCs w:val="24"/>
        </w:rPr>
      </w:pPr>
      <w:r>
        <w:rPr>
          <w:rFonts w:eastAsiaTheme="minorEastAsia"/>
          <w:sz w:val="24"/>
          <w:szCs w:val="24"/>
        </w:rPr>
        <w:t>4.</w:t>
      </w:r>
      <w:r w:rsidR="1F091066" w:rsidRPr="02B9DE64">
        <w:rPr>
          <w:rFonts w:eastAsiaTheme="minorEastAsia"/>
          <w:sz w:val="24"/>
          <w:szCs w:val="24"/>
        </w:rPr>
        <w:t>8. Auditoría externa y certificación</w:t>
      </w:r>
    </w:p>
    <w:p w14:paraId="5A2F755B" w14:textId="77777777" w:rsidR="0063772E" w:rsidRDefault="1F091066" w:rsidP="02B9DE64">
      <w:pPr>
        <w:spacing w:before="240" w:after="240"/>
        <w:rPr>
          <w:rFonts w:eastAsiaTheme="minorEastAsia"/>
          <w:sz w:val="24"/>
          <w:szCs w:val="24"/>
        </w:rPr>
      </w:pPr>
      <w:r w:rsidRPr="02B9DE64">
        <w:rPr>
          <w:rFonts w:eastAsiaTheme="minorEastAsia"/>
          <w:sz w:val="24"/>
          <w:szCs w:val="24"/>
        </w:rPr>
        <w:t xml:space="preserve">Todo el proceso culminó con la superación satisfactoria de la auditoría externa independiente y la obtención de la certificación europea SGE21, convirtiendo a la </w:t>
      </w:r>
    </w:p>
    <w:p w14:paraId="099A4709" w14:textId="77777777" w:rsidR="0063772E" w:rsidRDefault="0063772E" w:rsidP="02B9DE64">
      <w:pPr>
        <w:spacing w:before="240" w:after="240"/>
        <w:rPr>
          <w:rFonts w:eastAsiaTheme="minorEastAsia"/>
          <w:sz w:val="24"/>
          <w:szCs w:val="24"/>
        </w:rPr>
      </w:pPr>
    </w:p>
    <w:p w14:paraId="01791E79" w14:textId="69B616EC" w:rsidR="1F091066" w:rsidRDefault="1F091066" w:rsidP="02B9DE64">
      <w:pPr>
        <w:spacing w:before="240" w:after="240"/>
        <w:rPr>
          <w:rFonts w:eastAsiaTheme="minorEastAsia"/>
          <w:sz w:val="24"/>
          <w:szCs w:val="24"/>
        </w:rPr>
      </w:pPr>
      <w:r w:rsidRPr="02B9DE64">
        <w:rPr>
          <w:rFonts w:eastAsiaTheme="minorEastAsia"/>
          <w:sz w:val="24"/>
          <w:szCs w:val="24"/>
        </w:rPr>
        <w:t>Fundación Aspros en la primera organización española del ámbito de la discapacidad intelectual no federativa en alcanzar este reconocimiento.</w:t>
      </w:r>
    </w:p>
    <w:p w14:paraId="0BE59F30" w14:textId="6D2E3ECA" w:rsidR="1F091066" w:rsidRDefault="1F091066" w:rsidP="02B9DE64">
      <w:pPr>
        <w:spacing w:before="240" w:after="240"/>
        <w:rPr>
          <w:rFonts w:eastAsiaTheme="minorEastAsia"/>
          <w:sz w:val="24"/>
          <w:szCs w:val="24"/>
        </w:rPr>
      </w:pPr>
      <w:r w:rsidRPr="02B9DE64">
        <w:rPr>
          <w:rFonts w:eastAsiaTheme="minorEastAsia"/>
          <w:sz w:val="24"/>
          <w:szCs w:val="24"/>
        </w:rPr>
        <w:t>La certificación no representa el final del proyecto, sino el inicio de un modelo permanente de revisión, evaluación y aprendizaje. La SGE21 exige auditorías periódicas, seguimiento de indicadores, participación de los grupos de interés y una mejora continua demostrable, garantizando que la organización mantenga vivo este compromiso en el tiempo.</w:t>
      </w:r>
    </w:p>
    <w:p w14:paraId="141B5070" w14:textId="4DA202D0" w:rsidR="1F091066" w:rsidRDefault="1F091066" w:rsidP="02B9DE64">
      <w:pPr>
        <w:spacing w:before="240" w:after="240"/>
      </w:pPr>
      <w:r w:rsidRPr="02B9DE64">
        <w:rPr>
          <w:rFonts w:eastAsiaTheme="minorEastAsia"/>
          <w:sz w:val="24"/>
          <w:szCs w:val="24"/>
        </w:rPr>
        <w:t>Este proceso ha permitido integrar la responsabilidad social, la calidad, la sostenibilidad y el buen gobierno en la estrategia global de la Fundación, consolidando una cultura organizativa basada en la transparencia, la rendición de cuentas y la mejora continua. Se trata de una transformación profunda que demuestra que una entidad social puede asumir, de manera voluntaria, estándares de gestión propios de grandes organizaciones para generar un mayor impacto social y fortalecer su sostenibilidad futura.</w:t>
      </w:r>
    </w:p>
    <w:p w14:paraId="5A4B70F1" w14:textId="77777777" w:rsidR="005B6108" w:rsidRPr="005B6108" w:rsidRDefault="005B6108" w:rsidP="005B6108"/>
    <w:p w14:paraId="3F063A10" w14:textId="69E00441" w:rsidR="005B6108" w:rsidRPr="005B6108" w:rsidRDefault="000D41C3" w:rsidP="000D41C3">
      <w:r>
        <w:t xml:space="preserve">5.- </w:t>
      </w:r>
      <w:r w:rsidR="00117FE4" w:rsidRPr="02B9DE64">
        <w:rPr>
          <w:b/>
          <w:bCs/>
        </w:rPr>
        <w:t>Justificación de</w:t>
      </w:r>
      <w:r w:rsidR="00973E18" w:rsidRPr="02B9DE64">
        <w:rPr>
          <w:b/>
          <w:bCs/>
        </w:rPr>
        <w:t>l cumplimiento de</w:t>
      </w:r>
      <w:r w:rsidR="00117FE4" w:rsidRPr="02B9DE64">
        <w:rPr>
          <w:b/>
          <w:bCs/>
        </w:rPr>
        <w:t xml:space="preserve"> los criterios de </w:t>
      </w:r>
      <w:r w:rsidR="00631A4F" w:rsidRPr="02B9DE64">
        <w:rPr>
          <w:b/>
          <w:bCs/>
        </w:rPr>
        <w:t xml:space="preserve">valoración </w:t>
      </w:r>
      <w:r w:rsidR="00117FE4" w:rsidRPr="02B9DE64">
        <w:rPr>
          <w:b/>
          <w:bCs/>
        </w:rPr>
        <w:t>expuestos</w:t>
      </w:r>
      <w:r w:rsidR="00973E18" w:rsidRPr="02B9DE64">
        <w:rPr>
          <w:b/>
          <w:bCs/>
        </w:rPr>
        <w:t xml:space="preserve"> en el documento </w:t>
      </w:r>
      <w:r w:rsidR="00DE0D53" w:rsidRPr="02B9DE64">
        <w:rPr>
          <w:b/>
          <w:bCs/>
        </w:rPr>
        <w:t>“</w:t>
      </w:r>
      <w:r w:rsidR="00F9610E" w:rsidRPr="02B9DE64">
        <w:rPr>
          <w:b/>
          <w:bCs/>
        </w:rPr>
        <w:t>Bases</w:t>
      </w:r>
      <w:r w:rsidR="00B42D40" w:rsidRPr="02B9DE64">
        <w:rPr>
          <w:b/>
          <w:bCs/>
        </w:rPr>
        <w:t xml:space="preserve"> de Participación</w:t>
      </w:r>
      <w:r w:rsidR="00DE0D53" w:rsidRPr="02B9DE64">
        <w:rPr>
          <w:b/>
          <w:bCs/>
        </w:rPr>
        <w:t>”</w:t>
      </w:r>
    </w:p>
    <w:p w14:paraId="366B9E86" w14:textId="2A4E8CFF" w:rsidR="005B6108" w:rsidRPr="005B6108" w:rsidRDefault="70E33EA5" w:rsidP="02B9DE64">
      <w:pPr>
        <w:spacing w:before="240" w:after="240"/>
        <w:rPr>
          <w:rFonts w:eastAsiaTheme="minorEastAsia"/>
          <w:sz w:val="24"/>
          <w:szCs w:val="24"/>
        </w:rPr>
      </w:pPr>
      <w:r w:rsidRPr="02B9DE64">
        <w:rPr>
          <w:rFonts w:eastAsiaTheme="minorEastAsia"/>
          <w:sz w:val="24"/>
          <w:szCs w:val="24"/>
        </w:rPr>
        <w:t>La práctica presentada responde plenamente a los criterios establecidos en las Bases de Participación y constituye un ejemplo de transformación organizativa alineada con la categoría "Organizaciones que aprenden y se redefinen".</w:t>
      </w:r>
    </w:p>
    <w:p w14:paraId="53C73285" w14:textId="2DB54E59" w:rsidR="005B6108" w:rsidRPr="005B6108" w:rsidRDefault="70E33EA5" w:rsidP="02B9DE64">
      <w:pPr>
        <w:spacing w:before="240" w:after="240"/>
        <w:rPr>
          <w:rFonts w:eastAsiaTheme="minorEastAsia"/>
          <w:sz w:val="24"/>
          <w:szCs w:val="24"/>
        </w:rPr>
      </w:pPr>
      <w:r w:rsidRPr="02B9DE64">
        <w:rPr>
          <w:rFonts w:eastAsiaTheme="minorEastAsia"/>
          <w:sz w:val="24"/>
          <w:szCs w:val="24"/>
        </w:rPr>
        <w:t>La iniciativa nace de una necesidad estratégica identificada por la propia organización: seguir evolucionando hacia un modelo de gestión más sólido, transparente y sostenible, capaz de responder a las nuevas demandas sociales y a las crecientes expectativas de las personas atendidas, las familias, los profesionales, las administraciones y el conjunto de grupos de interés. Más allá del cumplimiento normativo, la Fundación decidió dar un paso adelante y someter voluntariamente toda su organización a un proceso de evaluación externa conforme al estándar europeo SGE21.</w:t>
      </w:r>
    </w:p>
    <w:p w14:paraId="49DFFE51" w14:textId="033A61A7" w:rsidR="005B6108" w:rsidRPr="005B6108" w:rsidRDefault="70E33EA5" w:rsidP="02B9DE64">
      <w:pPr>
        <w:spacing w:before="240" w:after="240"/>
        <w:rPr>
          <w:rFonts w:eastAsiaTheme="minorEastAsia"/>
          <w:sz w:val="24"/>
          <w:szCs w:val="24"/>
        </w:rPr>
      </w:pPr>
      <w:r w:rsidRPr="02B9DE64">
        <w:rPr>
          <w:rFonts w:eastAsiaTheme="minorEastAsia"/>
          <w:sz w:val="24"/>
          <w:szCs w:val="24"/>
        </w:rPr>
        <w:t>Esta decisión representa una innovación relevante dentro del sector de la discapacidad intelectual. La Fundación Aspros se convierte en la primera entidad española no federativa del ámbito de la discapacidad intelectual en obtener esta certificación, incorporando estándares de gestión ética, responsabilidad social y buen gobierno habitualmente implantados en grandes organizaciones y empresas. La innovación no reside únicamente en la obtención del certificado, sino en el cambio cultural que implica aceptar la revisión permanente, contrastar la propia gestión con un modelo internacional de excelencia y convertir la evaluación en una herramienta de aprendizaje y transformación.</w:t>
      </w:r>
    </w:p>
    <w:p w14:paraId="6F3984D0" w14:textId="77777777" w:rsidR="0063772E" w:rsidRDefault="0063772E" w:rsidP="02B9DE64">
      <w:pPr>
        <w:spacing w:before="240" w:after="240"/>
        <w:rPr>
          <w:rFonts w:eastAsiaTheme="minorEastAsia"/>
          <w:sz w:val="24"/>
          <w:szCs w:val="24"/>
        </w:rPr>
      </w:pPr>
    </w:p>
    <w:p w14:paraId="16156791" w14:textId="70715190" w:rsidR="005B6108" w:rsidRPr="005B6108" w:rsidRDefault="70E33EA5" w:rsidP="02B9DE64">
      <w:pPr>
        <w:spacing w:before="240" w:after="240"/>
        <w:rPr>
          <w:rFonts w:eastAsiaTheme="minorEastAsia"/>
          <w:sz w:val="24"/>
          <w:szCs w:val="24"/>
        </w:rPr>
      </w:pPr>
      <w:r w:rsidRPr="02B9DE64">
        <w:rPr>
          <w:rFonts w:eastAsiaTheme="minorEastAsia"/>
          <w:sz w:val="24"/>
          <w:szCs w:val="24"/>
        </w:rPr>
        <w:t>La práctica contribuye de manera directa a la sostenibilidad organizativa, ya que fortalece la gobernanza, mejora la gestión de riesgos, incrementa la transparencia, profesionaliza la toma de decisiones, consolida la participación de los grupos de interés y genera un sistema estable de mejora continua que permite anticiparse a los retos futuros. Todo ello aumenta la confianza de administraciones públicas, clientes, proveedores, profesionales, familias y sociedad en general.</w:t>
      </w:r>
    </w:p>
    <w:p w14:paraId="66E2EF3E" w14:textId="3BC719FF" w:rsidR="005B6108" w:rsidRPr="005B6108" w:rsidRDefault="70E33EA5" w:rsidP="02B9DE64">
      <w:pPr>
        <w:spacing w:before="240" w:after="240"/>
        <w:rPr>
          <w:rFonts w:eastAsiaTheme="minorEastAsia"/>
          <w:sz w:val="24"/>
          <w:szCs w:val="24"/>
        </w:rPr>
      </w:pPr>
      <w:r w:rsidRPr="02B9DE64">
        <w:rPr>
          <w:rFonts w:eastAsiaTheme="minorEastAsia"/>
          <w:sz w:val="24"/>
          <w:szCs w:val="24"/>
        </w:rPr>
        <w:t>El proyecto se apoya en evidencias objetivas y verificables. Durante 2025 se alcanzó el 80 % de los objetivos previstos en el Plan de Responsabilidad Social, se implantaron 35 actuaciones estratégicas, se actualizaron las principales políticas corporativas, se revisó el sistema de cumplimiento normativo, se creó el Comité de Responsabilidad Social con representación de los diferentes grupos de interés, se desarrolló el primer Plan Ambiental y se superó con éxito la auditoría externa que dio lugar a la obtención de la certificación SGE21. Estos resultados se complementan con el mantenimiento de las certificaciones ISO 9001, ISO 14001 e ISO 27001 y con reconocimientos externos como el Premio B-Value 2025.</w:t>
      </w:r>
    </w:p>
    <w:p w14:paraId="38DC40C9" w14:textId="6A272B84" w:rsidR="005B6108" w:rsidRPr="005B6108" w:rsidRDefault="70E33EA5" w:rsidP="02B9DE64">
      <w:pPr>
        <w:spacing w:before="240" w:after="240"/>
        <w:rPr>
          <w:rFonts w:eastAsiaTheme="minorEastAsia"/>
          <w:sz w:val="24"/>
          <w:szCs w:val="24"/>
        </w:rPr>
      </w:pPr>
      <w:r w:rsidRPr="02B9DE64">
        <w:rPr>
          <w:rFonts w:eastAsiaTheme="minorEastAsia"/>
          <w:sz w:val="24"/>
          <w:szCs w:val="24"/>
        </w:rPr>
        <w:t>La práctica presenta, además, garantías de continuidad. La certificación SGE21 exige auditorías periódicas, seguimiento de indicadores, revisión sistemática de objetivos y procesos de mejora permanente, por lo que el compromiso adquirido trasciende la obtención inicial del reconocimiento y se incorpora de manera estable al modelo de gestión de la Fundación.</w:t>
      </w:r>
    </w:p>
    <w:p w14:paraId="3A76E636" w14:textId="4080920B" w:rsidR="005B6108" w:rsidRPr="005B6108" w:rsidRDefault="70E33EA5" w:rsidP="02B9DE64">
      <w:pPr>
        <w:spacing w:before="240" w:after="240"/>
        <w:rPr>
          <w:rFonts w:eastAsiaTheme="minorEastAsia"/>
          <w:sz w:val="24"/>
          <w:szCs w:val="24"/>
        </w:rPr>
      </w:pPr>
      <w:r w:rsidRPr="02B9DE64">
        <w:rPr>
          <w:rFonts w:eastAsiaTheme="minorEastAsia"/>
          <w:sz w:val="24"/>
          <w:szCs w:val="24"/>
        </w:rPr>
        <w:t xml:space="preserve">Otro aspecto especialmente relevante ha sido la </w:t>
      </w:r>
      <w:proofErr w:type="gramStart"/>
      <w:r w:rsidRPr="02B9DE64">
        <w:rPr>
          <w:rFonts w:eastAsiaTheme="minorEastAsia"/>
          <w:sz w:val="24"/>
          <w:szCs w:val="24"/>
        </w:rPr>
        <w:t>participación activa</w:t>
      </w:r>
      <w:proofErr w:type="gramEnd"/>
      <w:r w:rsidRPr="02B9DE64">
        <w:rPr>
          <w:rFonts w:eastAsiaTheme="minorEastAsia"/>
          <w:sz w:val="24"/>
          <w:szCs w:val="24"/>
        </w:rPr>
        <w:t xml:space="preserve"> de los grupos de interés. Personas atendidas, familias, profesionales y Patronato han participado en el Comité de Responsabilidad Social, en grupos focales y en diferentes espacios de diálogo, contribuyendo a identificar oportunidades de mejora y a construir conjuntamente las decisiones estratégicas. La creación del Canal de Sugerencias a propuesta de las familias es un ejemplo tangible de esta participación efectiva.</w:t>
      </w:r>
    </w:p>
    <w:p w14:paraId="477DA69A" w14:textId="28845B5F" w:rsidR="005B6108" w:rsidRPr="005B6108" w:rsidRDefault="70E33EA5" w:rsidP="02B9DE64">
      <w:pPr>
        <w:spacing w:before="240" w:after="240"/>
        <w:rPr>
          <w:rFonts w:eastAsiaTheme="minorEastAsia"/>
          <w:sz w:val="24"/>
          <w:szCs w:val="24"/>
        </w:rPr>
      </w:pPr>
      <w:r w:rsidRPr="02B9DE64">
        <w:rPr>
          <w:rFonts w:eastAsiaTheme="minorEastAsia"/>
          <w:sz w:val="24"/>
          <w:szCs w:val="24"/>
        </w:rPr>
        <w:t>La implantación se ha desarrollado mediante una metodología sistemática, con un diagnóstico inicial, planificación de objetivos, definición de indicadores, asignación de responsables, implantación de acciones, seguimiento periódico y evaluación mediante auditorías internas y externas. Este enfoque garantiza la trazabilidad del proceso y la medición de sus resultados e impacto.</w:t>
      </w:r>
    </w:p>
    <w:p w14:paraId="103F9A56" w14:textId="198EC82D" w:rsidR="005B6108" w:rsidRPr="005B6108" w:rsidRDefault="70E33EA5" w:rsidP="02B9DE64">
      <w:pPr>
        <w:spacing w:before="240" w:after="240"/>
        <w:rPr>
          <w:rFonts w:eastAsiaTheme="minorEastAsia"/>
          <w:sz w:val="24"/>
          <w:szCs w:val="24"/>
        </w:rPr>
      </w:pPr>
      <w:r w:rsidRPr="02B9DE64">
        <w:rPr>
          <w:rFonts w:eastAsiaTheme="minorEastAsia"/>
          <w:sz w:val="24"/>
          <w:szCs w:val="24"/>
        </w:rPr>
        <w:t>Asimismo, la experiencia posee un elevado potencial de transferibilidad. El proceso seguido, las herramientas desarrolladas y las lecciones aprendidas pueden servir de referencia para otras entidades del tercer sector que deseen fortalecer su sostenibilidad, mejorar su gobernanza o avanzar hacia modelos de gestión ética y responsable adaptados a su realidad.</w:t>
      </w:r>
    </w:p>
    <w:p w14:paraId="53CA7A24" w14:textId="77777777" w:rsidR="0063772E" w:rsidRDefault="0063772E" w:rsidP="02B9DE64">
      <w:pPr>
        <w:spacing w:before="240" w:after="240"/>
        <w:rPr>
          <w:rFonts w:eastAsiaTheme="minorEastAsia"/>
          <w:sz w:val="24"/>
          <w:szCs w:val="24"/>
        </w:rPr>
      </w:pPr>
    </w:p>
    <w:p w14:paraId="73524A8E" w14:textId="77777777" w:rsidR="0063772E" w:rsidRDefault="0063772E" w:rsidP="02B9DE64">
      <w:pPr>
        <w:spacing w:before="240" w:after="240"/>
        <w:rPr>
          <w:rFonts w:eastAsiaTheme="minorEastAsia"/>
          <w:sz w:val="24"/>
          <w:szCs w:val="24"/>
        </w:rPr>
      </w:pPr>
    </w:p>
    <w:p w14:paraId="6F0AB5E4" w14:textId="19BC9950" w:rsidR="005B6108" w:rsidRPr="005B6108" w:rsidRDefault="70E33EA5" w:rsidP="02B9DE64">
      <w:pPr>
        <w:spacing w:before="240" w:after="240"/>
        <w:rPr>
          <w:rFonts w:eastAsiaTheme="minorEastAsia"/>
          <w:sz w:val="24"/>
          <w:szCs w:val="24"/>
        </w:rPr>
      </w:pPr>
      <w:r w:rsidRPr="02B9DE64">
        <w:rPr>
          <w:rFonts w:eastAsiaTheme="minorEastAsia"/>
          <w:sz w:val="24"/>
          <w:szCs w:val="24"/>
        </w:rPr>
        <w:t>Finalmente, la práctica incorpora plenamente el principio de mejora continua, uno de los valores esenciales de la Fundación. La organización ha asumido que revisarse periódicamente, aceptar la evaluación independiente y aprender de los resultados no constituye una obligación administrativa, sino una forma de entender la gestión. Esta cultura de aprendizaje permanente es, precisamente, la mayor transformación conseguida y el principal valor añadido de esta iniciativa.</w:t>
      </w:r>
    </w:p>
    <w:p w14:paraId="6CEE58D8" w14:textId="2C067B9B" w:rsidR="005B6108" w:rsidRPr="005B6108" w:rsidRDefault="005B6108" w:rsidP="005B6108"/>
    <w:p w14:paraId="62533A4D" w14:textId="2F8DFC0F" w:rsidR="005B6108" w:rsidRPr="005B6108" w:rsidRDefault="000D41C3" w:rsidP="000D41C3">
      <w:pPr>
        <w:rPr>
          <w:b/>
          <w:bCs/>
        </w:rPr>
      </w:pPr>
      <w:r>
        <w:t xml:space="preserve">6.- </w:t>
      </w:r>
      <w:r w:rsidR="005B6108" w:rsidRPr="005B6108">
        <w:rPr>
          <w:b/>
          <w:bCs/>
        </w:rPr>
        <w:t xml:space="preserve">Conclusiones </w:t>
      </w:r>
    </w:p>
    <w:p w14:paraId="2DF0809A" w14:textId="49BC0474" w:rsidR="005B6108" w:rsidRDefault="005B6108" w:rsidP="005B6108">
      <w:r>
        <w:t xml:space="preserve">¿En qué medida la práctica ha tenido impacto en </w:t>
      </w:r>
      <w:r w:rsidR="001162BD">
        <w:t>sostenibilidad de la entidad y le ha permitido avanzar</w:t>
      </w:r>
      <w:r>
        <w:t>?</w:t>
      </w:r>
    </w:p>
    <w:p w14:paraId="346C29AD" w14:textId="77777777" w:rsidR="00CB5581" w:rsidRPr="005B6108" w:rsidRDefault="00CB5581" w:rsidP="005B6108"/>
    <w:p w14:paraId="6E55BE12" w14:textId="58F04BC9" w:rsidR="3BAD448C" w:rsidRDefault="3BAD448C" w:rsidP="02B9DE64">
      <w:pPr>
        <w:spacing w:before="240" w:after="240"/>
      </w:pPr>
      <w:r w:rsidRPr="02B9DE64">
        <w:rPr>
          <w:rFonts w:ascii="Aptos" w:eastAsia="Aptos" w:hAnsi="Aptos" w:cs="Aptos"/>
        </w:rPr>
        <w:t>La obtención de la certificación SGE21 no ha sido el objetivo final de este proyecto, sino la consecuencia visible de una transformación profunda.</w:t>
      </w:r>
    </w:p>
    <w:p w14:paraId="6EFB704A" w14:textId="356B40C3" w:rsidR="3BAD448C" w:rsidRDefault="3BAD448C" w:rsidP="02B9DE64">
      <w:pPr>
        <w:spacing w:before="240" w:after="240"/>
      </w:pPr>
      <w:r w:rsidRPr="02B9DE64">
        <w:rPr>
          <w:rFonts w:ascii="Aptos" w:eastAsia="Aptos" w:hAnsi="Aptos" w:cs="Aptos"/>
        </w:rPr>
        <w:t xml:space="preserve">La verdadera innovación ha consistido en que una organización social con </w:t>
      </w:r>
      <w:r w:rsidRPr="02B9DE64">
        <w:rPr>
          <w:rFonts w:ascii="Aptos" w:eastAsia="Aptos" w:hAnsi="Aptos" w:cs="Aptos"/>
          <w:b/>
          <w:bCs/>
        </w:rPr>
        <w:t>63 años de historia</w:t>
      </w:r>
      <w:r w:rsidRPr="02B9DE64">
        <w:rPr>
          <w:rFonts w:ascii="Aptos" w:eastAsia="Aptos" w:hAnsi="Aptos" w:cs="Aptos"/>
        </w:rPr>
        <w:t xml:space="preserve">, cerca de </w:t>
      </w:r>
      <w:r w:rsidRPr="02B9DE64">
        <w:rPr>
          <w:rFonts w:ascii="Aptos" w:eastAsia="Aptos" w:hAnsi="Aptos" w:cs="Aptos"/>
          <w:b/>
          <w:bCs/>
        </w:rPr>
        <w:t>600 personas atendidas</w:t>
      </w:r>
      <w:r w:rsidRPr="02B9DE64">
        <w:rPr>
          <w:rFonts w:ascii="Aptos" w:eastAsia="Aptos" w:hAnsi="Aptos" w:cs="Aptos"/>
        </w:rPr>
        <w:t xml:space="preserve"> y </w:t>
      </w:r>
      <w:r w:rsidRPr="02B9DE64">
        <w:rPr>
          <w:rFonts w:ascii="Aptos" w:eastAsia="Aptos" w:hAnsi="Aptos" w:cs="Aptos"/>
          <w:b/>
          <w:bCs/>
        </w:rPr>
        <w:t>600 profesionales</w:t>
      </w:r>
      <w:r w:rsidRPr="02B9DE64">
        <w:rPr>
          <w:rFonts w:ascii="Aptos" w:eastAsia="Aptos" w:hAnsi="Aptos" w:cs="Aptos"/>
        </w:rPr>
        <w:t>, ha decidido voluntariamente abrirse, dejarse evaluar por un organismo independiente y contrastar su forma de trabajar con los estándares europeos de gestión ética, responsabilidad social y buen gobierno. Este paso requería asumir que siempre es posible mejorar y que la mejor manera de hacerlo es aceptar la mirada externa como una oportunidad de aprendizaje y no como un mecanismo de control.</w:t>
      </w:r>
    </w:p>
    <w:p w14:paraId="78CAB722" w14:textId="0F96F2FC" w:rsidR="3BAD448C" w:rsidRDefault="3BAD448C" w:rsidP="02B9DE64">
      <w:pPr>
        <w:spacing w:before="240" w:after="240"/>
      </w:pPr>
      <w:r w:rsidRPr="02B9DE64">
        <w:rPr>
          <w:rFonts w:ascii="Aptos" w:eastAsia="Aptos" w:hAnsi="Aptos" w:cs="Aptos"/>
        </w:rPr>
        <w:t xml:space="preserve">Ese proceso nos </w:t>
      </w:r>
      <w:r w:rsidR="00CB5581">
        <w:rPr>
          <w:rFonts w:ascii="Aptos" w:eastAsia="Aptos" w:hAnsi="Aptos" w:cs="Aptos"/>
        </w:rPr>
        <w:t>está</w:t>
      </w:r>
      <w:r w:rsidRPr="02B9DE64">
        <w:rPr>
          <w:rFonts w:ascii="Aptos" w:eastAsia="Aptos" w:hAnsi="Aptos" w:cs="Aptos"/>
        </w:rPr>
        <w:t xml:space="preserve"> transformado profundamente.</w:t>
      </w:r>
    </w:p>
    <w:p w14:paraId="2E4E8019" w14:textId="03E016F2" w:rsidR="3BAD448C" w:rsidRDefault="3BAD448C" w:rsidP="02B9DE64">
      <w:pPr>
        <w:spacing w:before="240" w:after="240"/>
      </w:pPr>
      <w:r w:rsidRPr="02B9DE64">
        <w:rPr>
          <w:rFonts w:ascii="Aptos" w:eastAsia="Aptos" w:hAnsi="Aptos" w:cs="Aptos"/>
        </w:rPr>
        <w:t xml:space="preserve">Nos ha enseñado a abrir la Fundación a todos nuestros grupos de interés y a incorporar de forma sistemática la voz de las personas atendidas, las familias, los profesionales, las administraciones, las empresas colaboradoras y el resto de </w:t>
      </w:r>
      <w:proofErr w:type="gramStart"/>
      <w:r w:rsidRPr="02B9DE64">
        <w:rPr>
          <w:rFonts w:ascii="Aptos" w:eastAsia="Aptos" w:hAnsi="Aptos" w:cs="Aptos"/>
        </w:rPr>
        <w:t>actores</w:t>
      </w:r>
      <w:proofErr w:type="gramEnd"/>
      <w:r w:rsidRPr="02B9DE64">
        <w:rPr>
          <w:rFonts w:ascii="Aptos" w:eastAsia="Aptos" w:hAnsi="Aptos" w:cs="Aptos"/>
        </w:rPr>
        <w:t xml:space="preserve"> con los que compartimos nuestra misión. Pero, sobre todo, nos ha hecho entender que escuchar no es suficiente: la participación solo genera confianza cuando las aportaciones se incorporan a la toma de decisiones y, posteriormente, se rinden cuentas sobre los resultados obtenidos. Esta manera de trabajar ha fortalecido la confianza mutua y ha ampliado nuestra gobernanza, haciéndola más abierta, </w:t>
      </w:r>
      <w:proofErr w:type="gramStart"/>
      <w:r w:rsidRPr="02B9DE64">
        <w:rPr>
          <w:rFonts w:ascii="Aptos" w:eastAsia="Aptos" w:hAnsi="Aptos" w:cs="Aptos"/>
        </w:rPr>
        <w:t>más participativa y más transparente</w:t>
      </w:r>
      <w:proofErr w:type="gramEnd"/>
      <w:r w:rsidRPr="02B9DE64">
        <w:rPr>
          <w:rFonts w:ascii="Aptos" w:eastAsia="Aptos" w:hAnsi="Aptos" w:cs="Aptos"/>
        </w:rPr>
        <w:t>.</w:t>
      </w:r>
    </w:p>
    <w:p w14:paraId="24C4653C" w14:textId="4CD2261A" w:rsidR="3BAD448C" w:rsidRDefault="3BAD448C" w:rsidP="02B9DE64">
      <w:pPr>
        <w:spacing w:before="240" w:after="240"/>
      </w:pPr>
      <w:r w:rsidRPr="02B9DE64">
        <w:rPr>
          <w:rFonts w:ascii="Aptos" w:eastAsia="Aptos" w:hAnsi="Aptos" w:cs="Aptos"/>
        </w:rPr>
        <w:t>Como entidad social que gestiona recursos públicos y presta un servicio esencial a la ciudadanía, también hemos asumido con mayor convicción la responsabilidad de explicar qué hacemos, cómo lo hacemos y qué impacto generamos. La rendición de cuentas ha dejado de ser una obligación para convertirse en un compromiso ético con todas las personas que confían en la Fundación.</w:t>
      </w:r>
    </w:p>
    <w:p w14:paraId="0F27BEFA" w14:textId="77777777" w:rsidR="0063772E" w:rsidRDefault="0063772E" w:rsidP="02B9DE64">
      <w:pPr>
        <w:spacing w:before="240" w:after="240"/>
        <w:rPr>
          <w:rFonts w:ascii="Aptos" w:eastAsia="Aptos" w:hAnsi="Aptos" w:cs="Aptos"/>
        </w:rPr>
      </w:pPr>
    </w:p>
    <w:p w14:paraId="711861F9" w14:textId="77777777" w:rsidR="0063772E" w:rsidRDefault="0063772E" w:rsidP="02B9DE64">
      <w:pPr>
        <w:spacing w:before="240" w:after="240"/>
        <w:rPr>
          <w:rFonts w:ascii="Aptos" w:eastAsia="Aptos" w:hAnsi="Aptos" w:cs="Aptos"/>
        </w:rPr>
      </w:pPr>
    </w:p>
    <w:p w14:paraId="1D1D2B85" w14:textId="77777777" w:rsidR="0063772E" w:rsidRDefault="0063772E" w:rsidP="02B9DE64">
      <w:pPr>
        <w:spacing w:before="240" w:after="240"/>
        <w:rPr>
          <w:rFonts w:ascii="Aptos" w:eastAsia="Aptos" w:hAnsi="Aptos" w:cs="Aptos"/>
        </w:rPr>
      </w:pPr>
    </w:p>
    <w:p w14:paraId="0593D544" w14:textId="06724395" w:rsidR="005E42D3" w:rsidRDefault="3BAD448C" w:rsidP="02B9DE64">
      <w:pPr>
        <w:spacing w:before="240" w:after="240"/>
        <w:rPr>
          <w:rFonts w:ascii="Aptos" w:eastAsia="Aptos" w:hAnsi="Aptos" w:cs="Aptos"/>
        </w:rPr>
      </w:pPr>
      <w:r w:rsidRPr="02B9DE64">
        <w:rPr>
          <w:rFonts w:ascii="Aptos" w:eastAsia="Aptos" w:hAnsi="Aptos" w:cs="Aptos"/>
        </w:rPr>
        <w:t>La implantación de la SGE21 también ha ampliado nuestra manera de entender la sostenibilidad. Tradicionalmente poníamos el foco en la calidad del servicio y en la sostenibilidad económica. Hoy entendemos que solo es posible construir una organización sostenible cuando el buen gobierno, la responsabilidad social, el impacto ambiental y el valor social forman parte de una misma estrategia. Este cambio nos ha llevado, por ejemplo, a incorporar por primera vez la gestión ambiental como uno de los pilares estratégicos de la Fundación, integrando objetivos de eficiencia energética, reducción del impacto ambiental y sensibilización de la comunidad.</w:t>
      </w:r>
    </w:p>
    <w:p w14:paraId="50445055" w14:textId="45C9549E" w:rsidR="3BAD448C" w:rsidRDefault="3BAD448C" w:rsidP="02B9DE64">
      <w:pPr>
        <w:spacing w:before="240" w:after="240"/>
      </w:pPr>
      <w:r w:rsidRPr="02B9DE64">
        <w:rPr>
          <w:rFonts w:ascii="Aptos" w:eastAsia="Aptos" w:hAnsi="Aptos" w:cs="Aptos"/>
        </w:rPr>
        <w:t>Asimismo, hemos transformado nuestra manera de evaluar el impacto de nuestra actividad. Hemos pasado de medir resultados por departamentos o servicios a analizar el valor que generamos para las personas, para la sociedad, para el medio ambiente y para cada uno de nuestros grupos de interés. Esta nueva mirada nos permite comprender mejor el alcance de nuestra misión y adaptar la comunicación y la rendición de cuentas a las necesidades de cada colectivo, utilizando canales y formatos accesibles para garantizar que todas las personas puedan conocer y comprender los resultados obtenidos.</w:t>
      </w:r>
    </w:p>
    <w:p w14:paraId="52D57BB0" w14:textId="0A6A7E43" w:rsidR="3BAD448C" w:rsidRDefault="3BAD448C" w:rsidP="02B9DE64">
      <w:pPr>
        <w:spacing w:before="240" w:after="240"/>
      </w:pPr>
      <w:r w:rsidRPr="02B9DE64">
        <w:rPr>
          <w:rFonts w:ascii="Aptos" w:eastAsia="Aptos" w:hAnsi="Aptos" w:cs="Aptos"/>
        </w:rPr>
        <w:t>Este proceso ha supuesto también un cambio cultural. Después de la pandemia, como muchas organizaciones sociales, necesitábamos recuperar espacios de confianza, participación e ilusión compartida. La implantación de la SGE21 ha actuado como un motor de cambio interno que ha movilizado a toda la organización, reforzando el sentimiento de pertenencia y generando una forma de trabajar más transversal, colaborativa y orientada al aprendizaje continuo.</w:t>
      </w:r>
    </w:p>
    <w:p w14:paraId="1C356580" w14:textId="1CD5BFD2" w:rsidR="3BAD448C" w:rsidRDefault="3BAD448C" w:rsidP="02B9DE64">
      <w:pPr>
        <w:spacing w:before="240" w:after="240"/>
      </w:pPr>
      <w:r w:rsidRPr="02B9DE64">
        <w:rPr>
          <w:rFonts w:ascii="Aptos" w:eastAsia="Aptos" w:hAnsi="Aptos" w:cs="Aptos"/>
        </w:rPr>
        <w:t xml:space="preserve">Por todo ello, creemos que esta práctica responde plenamente a la categoría </w:t>
      </w:r>
      <w:r w:rsidRPr="02B9DE64">
        <w:rPr>
          <w:rFonts w:ascii="Aptos" w:eastAsia="Aptos" w:hAnsi="Aptos" w:cs="Aptos"/>
          <w:b/>
          <w:bCs/>
        </w:rPr>
        <w:t>"Organizaciones que aprenden y se redefinen"</w:t>
      </w:r>
      <w:r w:rsidRPr="02B9DE64">
        <w:rPr>
          <w:rFonts w:ascii="Aptos" w:eastAsia="Aptos" w:hAnsi="Aptos" w:cs="Aptos"/>
        </w:rPr>
        <w:t>. No porque hayamos obtenido una certificación, sino porque hemos cambiado la manera de entender nuestra organización. Hemos incorporado la evaluación externa como una herramienta permanente de aprendizaje, hemos abierto nuestra gobernanza a la participación de quienes forman parte de nuestro proyecto y hemos integrado la mejora continua como una forma de gestionar y de relacionarnos con la sociedad.</w:t>
      </w:r>
    </w:p>
    <w:p w14:paraId="1075CDDB" w14:textId="2E569D48" w:rsidR="3BAD448C" w:rsidRDefault="3BAD448C" w:rsidP="02B9DE64">
      <w:pPr>
        <w:spacing w:before="240" w:after="240"/>
      </w:pPr>
      <w:r w:rsidRPr="02B9DE64">
        <w:rPr>
          <w:rFonts w:ascii="Aptos" w:eastAsia="Aptos" w:hAnsi="Aptos" w:cs="Aptos"/>
        </w:rPr>
        <w:t xml:space="preserve">Hoy sentimos que somos una organización más preparada para afrontar los retos del presente y del futuro; una organización más abierta, más transparente, </w:t>
      </w:r>
      <w:proofErr w:type="gramStart"/>
      <w:r w:rsidRPr="02B9DE64">
        <w:rPr>
          <w:rFonts w:ascii="Aptos" w:eastAsia="Aptos" w:hAnsi="Aptos" w:cs="Aptos"/>
        </w:rPr>
        <w:t>más responsable y más conectada</w:t>
      </w:r>
      <w:proofErr w:type="gramEnd"/>
      <w:r w:rsidRPr="02B9DE64">
        <w:rPr>
          <w:rFonts w:ascii="Aptos" w:eastAsia="Aptos" w:hAnsi="Aptos" w:cs="Aptos"/>
        </w:rPr>
        <w:t xml:space="preserve"> con su tiempo. Y, lo más importante, una organización que ayuda a que las personas con discapacidad intelectual también formen parte de esa transformación, participando, siendo escuchadas y ejerciendo un papel activo en la construcción de una sociedad más justa, sostenible e inclusiva.</w:t>
      </w:r>
    </w:p>
    <w:p w14:paraId="7E826B9C" w14:textId="40B46959" w:rsidR="005B6108" w:rsidRPr="005B6108" w:rsidRDefault="3BAD448C" w:rsidP="084DD1C7">
      <w:pPr>
        <w:spacing w:before="240" w:after="240"/>
      </w:pPr>
      <w:r w:rsidRPr="084DD1C7">
        <w:rPr>
          <w:rFonts w:ascii="Aptos" w:eastAsia="Aptos" w:hAnsi="Aptos" w:cs="Aptos"/>
        </w:rPr>
        <w:t xml:space="preserve">Porque, en definitiva, esta metodología de trabajo hace más vivo que nunca nuestro propósito: </w:t>
      </w:r>
      <w:r w:rsidRPr="084DD1C7">
        <w:rPr>
          <w:rFonts w:ascii="Aptos" w:eastAsia="Aptos" w:hAnsi="Aptos" w:cs="Aptos"/>
          <w:b/>
          <w:bCs/>
        </w:rPr>
        <w:t>hacer un mundo mejor para todas las capacidades.</w:t>
      </w:r>
    </w:p>
    <w:p w14:paraId="11572144" w14:textId="77777777" w:rsidR="00CE0244" w:rsidRDefault="00CE0244" w:rsidP="005B6108"/>
    <w:p w14:paraId="6855CFA1" w14:textId="2C1A7577" w:rsidR="00CE0244" w:rsidRDefault="007708CC" w:rsidP="005B6108">
      <w:hyperlink r:id="rId10" w:history="1">
        <w:r>
          <w:rPr>
            <w:rStyle w:val="Hipervnculo"/>
          </w:rPr>
          <w:t xml:space="preserve">Plena </w:t>
        </w:r>
        <w:r w:rsidR="000A1D2E">
          <w:rPr>
            <w:rStyle w:val="Hipervnculo"/>
          </w:rPr>
          <w:t>Inclusión</w:t>
        </w:r>
        <w:r>
          <w:rPr>
            <w:rStyle w:val="Hipervnculo"/>
          </w:rPr>
          <w:t xml:space="preserve"> documentación aportada</w:t>
        </w:r>
      </w:hyperlink>
    </w:p>
    <w:sectPr w:rsidR="00CE0244" w:rsidSect="004F4D75">
      <w:headerReference w:type="default" r:id="rId11"/>
      <w:footerReference w:type="default" r:id="rId12"/>
      <w:pgSz w:w="11906" w:h="16838"/>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1874" w14:textId="77777777" w:rsidR="00B31374" w:rsidRDefault="00B31374" w:rsidP="00254E85">
      <w:pPr>
        <w:spacing w:after="0" w:line="240" w:lineRule="auto"/>
      </w:pPr>
      <w:r>
        <w:separator/>
      </w:r>
    </w:p>
  </w:endnote>
  <w:endnote w:type="continuationSeparator" w:id="0">
    <w:p w14:paraId="279F1850" w14:textId="77777777" w:rsidR="00B31374" w:rsidRDefault="00B31374" w:rsidP="0025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E77" w14:textId="5EC1E2F7" w:rsidR="00247757" w:rsidRDefault="009D661D">
    <w:pPr>
      <w:pStyle w:val="Piedepgina"/>
    </w:pPr>
    <w:r>
      <w:rPr>
        <w:noProof/>
      </w:rPr>
      <w:drawing>
        <wp:anchor distT="0" distB="0" distL="114300" distR="114300" simplePos="0" relativeHeight="251662336" behindDoc="1" locked="0" layoutInCell="1" allowOverlap="1" wp14:anchorId="3F80E67F" wp14:editId="0FEE74DA">
          <wp:simplePos x="0" y="0"/>
          <wp:positionH relativeFrom="column">
            <wp:posOffset>148961</wp:posOffset>
          </wp:positionH>
          <wp:positionV relativeFrom="paragraph">
            <wp:posOffset>-8</wp:posOffset>
          </wp:positionV>
          <wp:extent cx="783772" cy="573252"/>
          <wp:effectExtent l="0" t="0" r="0" b="0"/>
          <wp:wrapNone/>
          <wp:docPr id="2022051929" name="Imagen 4" descr="FADEMGA - Plena inclusión Galicia">
            <a:extLst xmlns:a="http://schemas.openxmlformats.org/drawingml/2006/main">
              <a:ext uri="{FF2B5EF4-FFF2-40B4-BE49-F238E27FC236}">
                <a16:creationId xmlns:a16="http://schemas.microsoft.com/office/drawing/2014/main" id="{63BA8553-A793-4D8B-A17D-AC7EF359C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DEMGA - Plena inclusión Gali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97" cy="5775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0BDA0006" wp14:editId="283BCD70">
          <wp:simplePos x="0" y="0"/>
          <wp:positionH relativeFrom="column">
            <wp:posOffset>4097111</wp:posOffset>
          </wp:positionH>
          <wp:positionV relativeFrom="paragraph">
            <wp:posOffset>5361</wp:posOffset>
          </wp:positionV>
          <wp:extent cx="1133475" cy="400050"/>
          <wp:effectExtent l="0" t="0" r="9525" b="0"/>
          <wp:wrapNone/>
          <wp:docPr id="51920117" name="Imagen 1" descr="Plena Inclusión (página principal)">
            <a:extLst xmlns:a="http://schemas.openxmlformats.org/drawingml/2006/main">
              <a:ext uri="{FF2B5EF4-FFF2-40B4-BE49-F238E27FC236}">
                <a16:creationId xmlns:a16="http://schemas.microsoft.com/office/drawing/2014/main" id="{304ADCBF-042E-4920-84B0-CAF3D2F5C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na Inclusión (página princip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400050"/>
                  </a:xfrm>
                  <a:prstGeom prst="rect">
                    <a:avLst/>
                  </a:prstGeom>
                  <a:noFill/>
                  <a:ln>
                    <a:noFill/>
                  </a:ln>
                </pic:spPr>
              </pic:pic>
            </a:graphicData>
          </a:graphic>
        </wp:anchor>
      </w:drawing>
    </w:r>
    <w:r w:rsidR="004D74EE">
      <w:rPr>
        <w:noProof/>
      </w:rPr>
      <mc:AlternateContent>
        <mc:Choice Requires="wps">
          <w:drawing>
            <wp:inline distT="0" distB="0" distL="0" distR="0" wp14:anchorId="6524BDF1" wp14:editId="0161EA4B">
              <wp:extent cx="302895" cy="302895"/>
              <wp:effectExtent l="0" t="0" r="0" b="0"/>
              <wp:docPr id="389899347" name="Rectángulo 3">
                <a:extLst xmlns:a="http://schemas.openxmlformats.org/drawingml/2006/main">
                  <a:ext uri="{FF2B5EF4-FFF2-40B4-BE49-F238E27FC236}">
                    <a16:creationId xmlns:a16="http://schemas.microsoft.com/office/drawing/2014/main" id="{704CD16B-BDA6-4999-8AED-73F9A1A959D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i="http://schemas.microsoft.com/office/word/2026/wordml/cei" xmlns:a="http://schemas.openxmlformats.org/drawingml/2006/main" xmlns:a16="http://schemas.microsoft.com/office/drawing/2014/main" xmlns:pic="http://schemas.openxmlformats.org/drawingml/2006/picture" xmlns:a14="http://schemas.microsoft.com/office/drawing/2010/main">
          <w:pict>
            <v:rect id="Rectángulo 3" style="width:23.85pt;height:23.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6BB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o:lock v:ext="edit" aspectratio="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C245" w14:textId="77777777" w:rsidR="00B31374" w:rsidRDefault="00B31374" w:rsidP="00254E85">
      <w:pPr>
        <w:spacing w:after="0" w:line="240" w:lineRule="auto"/>
      </w:pPr>
      <w:r>
        <w:separator/>
      </w:r>
    </w:p>
  </w:footnote>
  <w:footnote w:type="continuationSeparator" w:id="0">
    <w:p w14:paraId="4D578FC4" w14:textId="77777777" w:rsidR="00B31374" w:rsidRDefault="00B31374" w:rsidP="00254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E5CE" w14:textId="29A70300" w:rsidR="0021118B" w:rsidRDefault="0021118B">
    <w:pPr>
      <w:pStyle w:val="Encabezado"/>
    </w:pPr>
    <w:r w:rsidRPr="0021118B">
      <w:rPr>
        <w:noProof/>
      </w:rPr>
      <w:drawing>
        <wp:inline distT="0" distB="0" distL="0" distR="0" wp14:anchorId="0911B6FC" wp14:editId="37C91479">
          <wp:extent cx="635329" cy="680403"/>
          <wp:effectExtent l="0" t="0" r="0" b="5715"/>
          <wp:docPr id="1605040772" name="Imagen 1">
            <a:extLst xmlns:a="http://schemas.openxmlformats.org/drawingml/2006/main">
              <a:ext uri="{FF2B5EF4-FFF2-40B4-BE49-F238E27FC236}">
                <a16:creationId xmlns:a16="http://schemas.microsoft.com/office/drawing/2014/main" id="{D7DB2CD1-A93D-41D6-A989-327A8EF6A9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20736" name=""/>
                  <pic:cNvPicPr/>
                </pic:nvPicPr>
                <pic:blipFill rotWithShape="1">
                  <a:blip r:embed="rId1"/>
                  <a:srcRect t="1" b="2711"/>
                  <a:stretch>
                    <a:fillRect/>
                  </a:stretch>
                </pic:blipFill>
                <pic:spPr bwMode="auto">
                  <a:xfrm>
                    <a:off x="0" y="0"/>
                    <a:ext cx="646470" cy="692334"/>
                  </a:xfrm>
                  <a:prstGeom prst="rect">
                    <a:avLst/>
                  </a:prstGeom>
                  <a:ln>
                    <a:noFill/>
                  </a:ln>
                  <a:extLst>
                    <a:ext uri="{53640926-AAD7-44D8-BBD7-CCE9431645EC}">
                      <a14:shadowObscured xmlns:a14="http://schemas.microsoft.com/office/drawing/2010/main"/>
                    </a:ext>
                  </a:extLst>
                </pic:spPr>
              </pic:pic>
            </a:graphicData>
          </a:graphic>
        </wp:inline>
      </w:drawing>
    </w:r>
    <w:r w:rsidR="004F4D75" w:rsidRPr="004F4D75">
      <w:rPr>
        <w:noProof/>
      </w:rPr>
      <w:drawing>
        <wp:inline distT="0" distB="0" distL="0" distR="0" wp14:anchorId="379BEB60" wp14:editId="37C14245">
          <wp:extent cx="1854653" cy="656397"/>
          <wp:effectExtent l="0" t="0" r="0" b="0"/>
          <wp:docPr id="2093757070" name="Imagen 1">
            <a:extLst xmlns:a="http://schemas.openxmlformats.org/drawingml/2006/main">
              <a:ext uri="{FF2B5EF4-FFF2-40B4-BE49-F238E27FC236}">
                <a16:creationId xmlns:a16="http://schemas.microsoft.com/office/drawing/2014/main" id="{67B8E7CF-F7EA-4870-A2DA-EF40C95FA0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27661" name=""/>
                  <pic:cNvPicPr/>
                </pic:nvPicPr>
                <pic:blipFill>
                  <a:blip r:embed="rId2"/>
                  <a:stretch>
                    <a:fillRect/>
                  </a:stretch>
                </pic:blipFill>
                <pic:spPr>
                  <a:xfrm>
                    <a:off x="0" y="0"/>
                    <a:ext cx="1883037" cy="666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E7B"/>
    <w:multiLevelType w:val="hybridMultilevel"/>
    <w:tmpl w:val="21F2CBD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F01E5B"/>
    <w:multiLevelType w:val="hybridMultilevel"/>
    <w:tmpl w:val="986AB50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996BD4"/>
    <w:multiLevelType w:val="hybridMultilevel"/>
    <w:tmpl w:val="C9A6926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C64DCB"/>
    <w:multiLevelType w:val="hybridMultilevel"/>
    <w:tmpl w:val="AF886F6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F76606"/>
    <w:multiLevelType w:val="hybridMultilevel"/>
    <w:tmpl w:val="A02C63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182427"/>
    <w:multiLevelType w:val="hybridMultilevel"/>
    <w:tmpl w:val="3146D1F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4F3D53"/>
    <w:multiLevelType w:val="hybridMultilevel"/>
    <w:tmpl w:val="9C6A1F0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81477"/>
    <w:multiLevelType w:val="hybridMultilevel"/>
    <w:tmpl w:val="ADD2D5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2EEE65"/>
    <w:multiLevelType w:val="hybridMultilevel"/>
    <w:tmpl w:val="FFFFFFFF"/>
    <w:lvl w:ilvl="0" w:tplc="C09800E6">
      <w:start w:val="1"/>
      <w:numFmt w:val="bullet"/>
      <w:lvlText w:val=""/>
      <w:lvlJc w:val="left"/>
      <w:pPr>
        <w:ind w:left="720" w:hanging="360"/>
      </w:pPr>
      <w:rPr>
        <w:rFonts w:ascii="Symbol" w:hAnsi="Symbol" w:hint="default"/>
      </w:rPr>
    </w:lvl>
    <w:lvl w:ilvl="1" w:tplc="C2B40BAE">
      <w:start w:val="1"/>
      <w:numFmt w:val="bullet"/>
      <w:lvlText w:val="o"/>
      <w:lvlJc w:val="left"/>
      <w:pPr>
        <w:ind w:left="1440" w:hanging="360"/>
      </w:pPr>
      <w:rPr>
        <w:rFonts w:ascii="Courier New" w:hAnsi="Courier New" w:hint="default"/>
      </w:rPr>
    </w:lvl>
    <w:lvl w:ilvl="2" w:tplc="577A5386">
      <w:start w:val="1"/>
      <w:numFmt w:val="bullet"/>
      <w:lvlText w:val=""/>
      <w:lvlJc w:val="left"/>
      <w:pPr>
        <w:ind w:left="2160" w:hanging="360"/>
      </w:pPr>
      <w:rPr>
        <w:rFonts w:ascii="Wingdings" w:hAnsi="Wingdings" w:hint="default"/>
      </w:rPr>
    </w:lvl>
    <w:lvl w:ilvl="3" w:tplc="9062619A">
      <w:start w:val="1"/>
      <w:numFmt w:val="bullet"/>
      <w:lvlText w:val=""/>
      <w:lvlJc w:val="left"/>
      <w:pPr>
        <w:ind w:left="2880" w:hanging="360"/>
      </w:pPr>
      <w:rPr>
        <w:rFonts w:ascii="Symbol" w:hAnsi="Symbol" w:hint="default"/>
      </w:rPr>
    </w:lvl>
    <w:lvl w:ilvl="4" w:tplc="CC36CE8A">
      <w:start w:val="1"/>
      <w:numFmt w:val="bullet"/>
      <w:lvlText w:val="o"/>
      <w:lvlJc w:val="left"/>
      <w:pPr>
        <w:ind w:left="3600" w:hanging="360"/>
      </w:pPr>
      <w:rPr>
        <w:rFonts w:ascii="Courier New" w:hAnsi="Courier New" w:hint="default"/>
      </w:rPr>
    </w:lvl>
    <w:lvl w:ilvl="5" w:tplc="FC12EA90">
      <w:start w:val="1"/>
      <w:numFmt w:val="bullet"/>
      <w:lvlText w:val=""/>
      <w:lvlJc w:val="left"/>
      <w:pPr>
        <w:ind w:left="4320" w:hanging="360"/>
      </w:pPr>
      <w:rPr>
        <w:rFonts w:ascii="Wingdings" w:hAnsi="Wingdings" w:hint="default"/>
      </w:rPr>
    </w:lvl>
    <w:lvl w:ilvl="6" w:tplc="3F4CC7F2">
      <w:start w:val="1"/>
      <w:numFmt w:val="bullet"/>
      <w:lvlText w:val=""/>
      <w:lvlJc w:val="left"/>
      <w:pPr>
        <w:ind w:left="5040" w:hanging="360"/>
      </w:pPr>
      <w:rPr>
        <w:rFonts w:ascii="Symbol" w:hAnsi="Symbol" w:hint="default"/>
      </w:rPr>
    </w:lvl>
    <w:lvl w:ilvl="7" w:tplc="1DF824CC">
      <w:start w:val="1"/>
      <w:numFmt w:val="bullet"/>
      <w:lvlText w:val="o"/>
      <w:lvlJc w:val="left"/>
      <w:pPr>
        <w:ind w:left="5760" w:hanging="360"/>
      </w:pPr>
      <w:rPr>
        <w:rFonts w:ascii="Courier New" w:hAnsi="Courier New" w:hint="default"/>
      </w:rPr>
    </w:lvl>
    <w:lvl w:ilvl="8" w:tplc="ECA6623A">
      <w:start w:val="1"/>
      <w:numFmt w:val="bullet"/>
      <w:lvlText w:val=""/>
      <w:lvlJc w:val="left"/>
      <w:pPr>
        <w:ind w:left="6480" w:hanging="360"/>
      </w:pPr>
      <w:rPr>
        <w:rFonts w:ascii="Wingdings" w:hAnsi="Wingdings" w:hint="default"/>
      </w:rPr>
    </w:lvl>
  </w:abstractNum>
  <w:abstractNum w:abstractNumId="9" w15:restartNumberingAfterBreak="0">
    <w:nsid w:val="6107041D"/>
    <w:multiLevelType w:val="hybridMultilevel"/>
    <w:tmpl w:val="DB1200E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CF5A10"/>
    <w:multiLevelType w:val="hybridMultilevel"/>
    <w:tmpl w:val="B246A0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CA756B"/>
    <w:multiLevelType w:val="hybridMultilevel"/>
    <w:tmpl w:val="975419E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4C011A"/>
    <w:multiLevelType w:val="hybridMultilevel"/>
    <w:tmpl w:val="FFFFFFFF"/>
    <w:lvl w:ilvl="0" w:tplc="F7CCF30C">
      <w:start w:val="1"/>
      <w:numFmt w:val="bullet"/>
      <w:lvlText w:val=""/>
      <w:lvlJc w:val="left"/>
      <w:pPr>
        <w:ind w:left="720" w:hanging="360"/>
      </w:pPr>
      <w:rPr>
        <w:rFonts w:ascii="Symbol" w:hAnsi="Symbol" w:hint="default"/>
      </w:rPr>
    </w:lvl>
    <w:lvl w:ilvl="1" w:tplc="D792BBB6">
      <w:start w:val="1"/>
      <w:numFmt w:val="bullet"/>
      <w:lvlText w:val="o"/>
      <w:lvlJc w:val="left"/>
      <w:pPr>
        <w:ind w:left="1440" w:hanging="360"/>
      </w:pPr>
      <w:rPr>
        <w:rFonts w:ascii="Courier New" w:hAnsi="Courier New" w:hint="default"/>
      </w:rPr>
    </w:lvl>
    <w:lvl w:ilvl="2" w:tplc="C47A299C">
      <w:start w:val="1"/>
      <w:numFmt w:val="bullet"/>
      <w:lvlText w:val=""/>
      <w:lvlJc w:val="left"/>
      <w:pPr>
        <w:ind w:left="2160" w:hanging="360"/>
      </w:pPr>
      <w:rPr>
        <w:rFonts w:ascii="Wingdings" w:hAnsi="Wingdings" w:hint="default"/>
      </w:rPr>
    </w:lvl>
    <w:lvl w:ilvl="3" w:tplc="C382EF16">
      <w:start w:val="1"/>
      <w:numFmt w:val="bullet"/>
      <w:lvlText w:val=""/>
      <w:lvlJc w:val="left"/>
      <w:pPr>
        <w:ind w:left="2880" w:hanging="360"/>
      </w:pPr>
      <w:rPr>
        <w:rFonts w:ascii="Symbol" w:hAnsi="Symbol" w:hint="default"/>
      </w:rPr>
    </w:lvl>
    <w:lvl w:ilvl="4" w:tplc="C5444088">
      <w:start w:val="1"/>
      <w:numFmt w:val="bullet"/>
      <w:lvlText w:val="o"/>
      <w:lvlJc w:val="left"/>
      <w:pPr>
        <w:ind w:left="3600" w:hanging="360"/>
      </w:pPr>
      <w:rPr>
        <w:rFonts w:ascii="Courier New" w:hAnsi="Courier New" w:hint="default"/>
      </w:rPr>
    </w:lvl>
    <w:lvl w:ilvl="5" w:tplc="2EAE4166">
      <w:start w:val="1"/>
      <w:numFmt w:val="bullet"/>
      <w:lvlText w:val=""/>
      <w:lvlJc w:val="left"/>
      <w:pPr>
        <w:ind w:left="4320" w:hanging="360"/>
      </w:pPr>
      <w:rPr>
        <w:rFonts w:ascii="Wingdings" w:hAnsi="Wingdings" w:hint="default"/>
      </w:rPr>
    </w:lvl>
    <w:lvl w:ilvl="6" w:tplc="49D6FE00">
      <w:start w:val="1"/>
      <w:numFmt w:val="bullet"/>
      <w:lvlText w:val=""/>
      <w:lvlJc w:val="left"/>
      <w:pPr>
        <w:ind w:left="5040" w:hanging="360"/>
      </w:pPr>
      <w:rPr>
        <w:rFonts w:ascii="Symbol" w:hAnsi="Symbol" w:hint="default"/>
      </w:rPr>
    </w:lvl>
    <w:lvl w:ilvl="7" w:tplc="EE34CA1C">
      <w:start w:val="1"/>
      <w:numFmt w:val="bullet"/>
      <w:lvlText w:val="o"/>
      <w:lvlJc w:val="left"/>
      <w:pPr>
        <w:ind w:left="5760" w:hanging="360"/>
      </w:pPr>
      <w:rPr>
        <w:rFonts w:ascii="Courier New" w:hAnsi="Courier New" w:hint="default"/>
      </w:rPr>
    </w:lvl>
    <w:lvl w:ilvl="8" w:tplc="26E0A232">
      <w:start w:val="1"/>
      <w:numFmt w:val="bullet"/>
      <w:lvlText w:val=""/>
      <w:lvlJc w:val="left"/>
      <w:pPr>
        <w:ind w:left="6480" w:hanging="360"/>
      </w:pPr>
      <w:rPr>
        <w:rFonts w:ascii="Wingdings" w:hAnsi="Wingdings" w:hint="default"/>
      </w:rPr>
    </w:lvl>
  </w:abstractNum>
  <w:abstractNum w:abstractNumId="13" w15:restartNumberingAfterBreak="0">
    <w:nsid w:val="781F7D4F"/>
    <w:multiLevelType w:val="hybridMultilevel"/>
    <w:tmpl w:val="67D4C2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5167611">
    <w:abstractNumId w:val="4"/>
  </w:num>
  <w:num w:numId="2" w16cid:durableId="1202942779">
    <w:abstractNumId w:val="8"/>
  </w:num>
  <w:num w:numId="3" w16cid:durableId="1220440166">
    <w:abstractNumId w:val="3"/>
  </w:num>
  <w:num w:numId="4" w16cid:durableId="1302417662">
    <w:abstractNumId w:val="11"/>
  </w:num>
  <w:num w:numId="5" w16cid:durableId="1409574973">
    <w:abstractNumId w:val="1"/>
  </w:num>
  <w:num w:numId="6" w16cid:durableId="149294478">
    <w:abstractNumId w:val="2"/>
  </w:num>
  <w:num w:numId="7" w16cid:durableId="1850414258">
    <w:abstractNumId w:val="0"/>
  </w:num>
  <w:num w:numId="8" w16cid:durableId="212889459">
    <w:abstractNumId w:val="9"/>
  </w:num>
  <w:num w:numId="9" w16cid:durableId="454762279">
    <w:abstractNumId w:val="6"/>
  </w:num>
  <w:num w:numId="10" w16cid:durableId="573590297">
    <w:abstractNumId w:val="5"/>
  </w:num>
  <w:num w:numId="11" w16cid:durableId="574555209">
    <w:abstractNumId w:val="12"/>
  </w:num>
  <w:num w:numId="12" w16cid:durableId="77364434">
    <w:abstractNumId w:val="10"/>
  </w:num>
  <w:num w:numId="13" w16cid:durableId="841621954">
    <w:abstractNumId w:val="7"/>
  </w:num>
  <w:num w:numId="14" w16cid:durableId="992836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A5"/>
    <w:rsid w:val="00052B28"/>
    <w:rsid w:val="00053A3A"/>
    <w:rsid w:val="000A08D7"/>
    <w:rsid w:val="000A1D2E"/>
    <w:rsid w:val="000A6770"/>
    <w:rsid w:val="000A6B2C"/>
    <w:rsid w:val="000D17C4"/>
    <w:rsid w:val="000D41C3"/>
    <w:rsid w:val="000D7B6F"/>
    <w:rsid w:val="001162BD"/>
    <w:rsid w:val="00117BE5"/>
    <w:rsid w:val="00117FE4"/>
    <w:rsid w:val="00126429"/>
    <w:rsid w:val="001339BA"/>
    <w:rsid w:val="00134A58"/>
    <w:rsid w:val="00175A52"/>
    <w:rsid w:val="001B2DB8"/>
    <w:rsid w:val="001F4D6F"/>
    <w:rsid w:val="0021118B"/>
    <w:rsid w:val="00221256"/>
    <w:rsid w:val="00241A00"/>
    <w:rsid w:val="00247382"/>
    <w:rsid w:val="00247757"/>
    <w:rsid w:val="00254E85"/>
    <w:rsid w:val="00260895"/>
    <w:rsid w:val="00286F17"/>
    <w:rsid w:val="002923EC"/>
    <w:rsid w:val="00293AEB"/>
    <w:rsid w:val="002A116C"/>
    <w:rsid w:val="002B12F7"/>
    <w:rsid w:val="002B4D76"/>
    <w:rsid w:val="00315E0E"/>
    <w:rsid w:val="0032717A"/>
    <w:rsid w:val="0033288F"/>
    <w:rsid w:val="003641AB"/>
    <w:rsid w:val="003C744B"/>
    <w:rsid w:val="003D6E64"/>
    <w:rsid w:val="00435BF7"/>
    <w:rsid w:val="00453624"/>
    <w:rsid w:val="00495F4A"/>
    <w:rsid w:val="004C1B79"/>
    <w:rsid w:val="004C7114"/>
    <w:rsid w:val="004D6367"/>
    <w:rsid w:val="004D74EE"/>
    <w:rsid w:val="004F06D5"/>
    <w:rsid w:val="004F4D75"/>
    <w:rsid w:val="005219A0"/>
    <w:rsid w:val="00546DE3"/>
    <w:rsid w:val="00582EA0"/>
    <w:rsid w:val="005B6108"/>
    <w:rsid w:val="005D5D60"/>
    <w:rsid w:val="005E32CA"/>
    <w:rsid w:val="005E42D3"/>
    <w:rsid w:val="00611A23"/>
    <w:rsid w:val="00631A4F"/>
    <w:rsid w:val="0063427A"/>
    <w:rsid w:val="0063772E"/>
    <w:rsid w:val="00663810"/>
    <w:rsid w:val="006C2467"/>
    <w:rsid w:val="006C3F14"/>
    <w:rsid w:val="006D1956"/>
    <w:rsid w:val="006E304A"/>
    <w:rsid w:val="00702776"/>
    <w:rsid w:val="00720547"/>
    <w:rsid w:val="007708CC"/>
    <w:rsid w:val="007731B2"/>
    <w:rsid w:val="007739DB"/>
    <w:rsid w:val="007C35EE"/>
    <w:rsid w:val="007E773D"/>
    <w:rsid w:val="00811366"/>
    <w:rsid w:val="00816065"/>
    <w:rsid w:val="00822939"/>
    <w:rsid w:val="00822D87"/>
    <w:rsid w:val="00841B4C"/>
    <w:rsid w:val="008667E4"/>
    <w:rsid w:val="00887479"/>
    <w:rsid w:val="00896DDB"/>
    <w:rsid w:val="008A17CD"/>
    <w:rsid w:val="008D2EAB"/>
    <w:rsid w:val="00901B89"/>
    <w:rsid w:val="00904B34"/>
    <w:rsid w:val="00915288"/>
    <w:rsid w:val="0092650C"/>
    <w:rsid w:val="00973E18"/>
    <w:rsid w:val="00975933"/>
    <w:rsid w:val="00987712"/>
    <w:rsid w:val="009A684F"/>
    <w:rsid w:val="009A784E"/>
    <w:rsid w:val="009C18D8"/>
    <w:rsid w:val="009C25FE"/>
    <w:rsid w:val="009D661D"/>
    <w:rsid w:val="009F4DB3"/>
    <w:rsid w:val="00A2798B"/>
    <w:rsid w:val="00A4309A"/>
    <w:rsid w:val="00A537DC"/>
    <w:rsid w:val="00A6384F"/>
    <w:rsid w:val="00A63F23"/>
    <w:rsid w:val="00A93239"/>
    <w:rsid w:val="00AA0C86"/>
    <w:rsid w:val="00AA5755"/>
    <w:rsid w:val="00AB324F"/>
    <w:rsid w:val="00AD08F6"/>
    <w:rsid w:val="00B0388D"/>
    <w:rsid w:val="00B1534C"/>
    <w:rsid w:val="00B267A5"/>
    <w:rsid w:val="00B31374"/>
    <w:rsid w:val="00B421CF"/>
    <w:rsid w:val="00B42D40"/>
    <w:rsid w:val="00B50CF1"/>
    <w:rsid w:val="00B563D2"/>
    <w:rsid w:val="00B72C8A"/>
    <w:rsid w:val="00B75A20"/>
    <w:rsid w:val="00B91FE1"/>
    <w:rsid w:val="00BE3C7D"/>
    <w:rsid w:val="00BF10B4"/>
    <w:rsid w:val="00BF3043"/>
    <w:rsid w:val="00C063A2"/>
    <w:rsid w:val="00C309FE"/>
    <w:rsid w:val="00C3586B"/>
    <w:rsid w:val="00C721A0"/>
    <w:rsid w:val="00C838A1"/>
    <w:rsid w:val="00C9547F"/>
    <w:rsid w:val="00CB5581"/>
    <w:rsid w:val="00CC5B45"/>
    <w:rsid w:val="00CE0244"/>
    <w:rsid w:val="00D03738"/>
    <w:rsid w:val="00D71817"/>
    <w:rsid w:val="00DA3418"/>
    <w:rsid w:val="00DC4693"/>
    <w:rsid w:val="00DE0D53"/>
    <w:rsid w:val="00DF2B99"/>
    <w:rsid w:val="00E03F27"/>
    <w:rsid w:val="00E1658E"/>
    <w:rsid w:val="00E536A0"/>
    <w:rsid w:val="00E77C00"/>
    <w:rsid w:val="00EB0E89"/>
    <w:rsid w:val="00EC33DE"/>
    <w:rsid w:val="00EC4E44"/>
    <w:rsid w:val="00ED681E"/>
    <w:rsid w:val="00EE16B4"/>
    <w:rsid w:val="00EE70FE"/>
    <w:rsid w:val="00F02B24"/>
    <w:rsid w:val="00F313EA"/>
    <w:rsid w:val="00F73734"/>
    <w:rsid w:val="00F9610E"/>
    <w:rsid w:val="00F96F62"/>
    <w:rsid w:val="012DF937"/>
    <w:rsid w:val="02B9DE64"/>
    <w:rsid w:val="041AF717"/>
    <w:rsid w:val="055A88B9"/>
    <w:rsid w:val="084DD1C7"/>
    <w:rsid w:val="0FCA663F"/>
    <w:rsid w:val="1D578314"/>
    <w:rsid w:val="1EDE24BF"/>
    <w:rsid w:val="1F091066"/>
    <w:rsid w:val="1FDB95BF"/>
    <w:rsid w:val="22EC71CF"/>
    <w:rsid w:val="2A1DC350"/>
    <w:rsid w:val="39BDD502"/>
    <w:rsid w:val="3AFDCD79"/>
    <w:rsid w:val="3BAD448C"/>
    <w:rsid w:val="3E6840FA"/>
    <w:rsid w:val="42EC6577"/>
    <w:rsid w:val="57F52E56"/>
    <w:rsid w:val="683027A0"/>
    <w:rsid w:val="69317945"/>
    <w:rsid w:val="6AE18B7E"/>
    <w:rsid w:val="70E33EA5"/>
    <w:rsid w:val="77815F17"/>
    <w:rsid w:val="7C097950"/>
    <w:rsid w:val="7CC76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5BDC"/>
  <w15:chartTrackingRefBased/>
  <w15:docId w15:val="{6805E61A-E23B-4592-91A4-85DC04EF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67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67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67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67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67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67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67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67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67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67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67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67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67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67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67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67A5"/>
    <w:rPr>
      <w:rFonts w:eastAsiaTheme="majorEastAsia" w:cstheme="majorBidi"/>
      <w:color w:val="272727" w:themeColor="text1" w:themeTint="D8"/>
    </w:rPr>
  </w:style>
  <w:style w:type="paragraph" w:styleId="Ttulo">
    <w:name w:val="Title"/>
    <w:basedOn w:val="Normal"/>
    <w:next w:val="Normal"/>
    <w:link w:val="TtuloCar"/>
    <w:uiPriority w:val="10"/>
    <w:qFormat/>
    <w:rsid w:val="00B2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67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67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67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67A5"/>
    <w:pPr>
      <w:spacing w:before="160"/>
      <w:jc w:val="center"/>
    </w:pPr>
    <w:rPr>
      <w:i/>
      <w:iCs/>
      <w:color w:val="404040" w:themeColor="text1" w:themeTint="BF"/>
    </w:rPr>
  </w:style>
  <w:style w:type="character" w:customStyle="1" w:styleId="CitaCar">
    <w:name w:val="Cita Car"/>
    <w:basedOn w:val="Fuentedeprrafopredeter"/>
    <w:link w:val="Cita"/>
    <w:uiPriority w:val="29"/>
    <w:rsid w:val="00B267A5"/>
    <w:rPr>
      <w:i/>
      <w:iCs/>
      <w:color w:val="404040" w:themeColor="text1" w:themeTint="BF"/>
    </w:rPr>
  </w:style>
  <w:style w:type="paragraph" w:styleId="Prrafodelista">
    <w:name w:val="List Paragraph"/>
    <w:basedOn w:val="Normal"/>
    <w:uiPriority w:val="34"/>
    <w:qFormat/>
    <w:rsid w:val="00B267A5"/>
    <w:pPr>
      <w:ind w:left="720"/>
      <w:contextualSpacing/>
    </w:pPr>
  </w:style>
  <w:style w:type="character" w:styleId="nfasisintenso">
    <w:name w:val="Intense Emphasis"/>
    <w:basedOn w:val="Fuentedeprrafopredeter"/>
    <w:uiPriority w:val="21"/>
    <w:qFormat/>
    <w:rsid w:val="00B267A5"/>
    <w:rPr>
      <w:i/>
      <w:iCs/>
      <w:color w:val="0F4761" w:themeColor="accent1" w:themeShade="BF"/>
    </w:rPr>
  </w:style>
  <w:style w:type="paragraph" w:styleId="Citadestacada">
    <w:name w:val="Intense Quote"/>
    <w:basedOn w:val="Normal"/>
    <w:next w:val="Normal"/>
    <w:link w:val="CitadestacadaCar"/>
    <w:uiPriority w:val="30"/>
    <w:qFormat/>
    <w:rsid w:val="00B2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67A5"/>
    <w:rPr>
      <w:i/>
      <w:iCs/>
      <w:color w:val="0F4761" w:themeColor="accent1" w:themeShade="BF"/>
    </w:rPr>
  </w:style>
  <w:style w:type="character" w:styleId="Referenciaintensa">
    <w:name w:val="Intense Reference"/>
    <w:basedOn w:val="Fuentedeprrafopredeter"/>
    <w:uiPriority w:val="32"/>
    <w:qFormat/>
    <w:rsid w:val="00B267A5"/>
    <w:rPr>
      <w:b/>
      <w:bCs/>
      <w:smallCaps/>
      <w:color w:val="0F4761" w:themeColor="accent1" w:themeShade="BF"/>
      <w:spacing w:val="5"/>
    </w:rPr>
  </w:style>
  <w:style w:type="paragraph" w:styleId="Encabezado">
    <w:name w:val="header"/>
    <w:basedOn w:val="Normal"/>
    <w:link w:val="EncabezadoCar"/>
    <w:uiPriority w:val="99"/>
    <w:unhideWhenUsed/>
    <w:rsid w:val="00254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4E85"/>
  </w:style>
  <w:style w:type="paragraph" w:styleId="Piedepgina">
    <w:name w:val="footer"/>
    <w:basedOn w:val="Normal"/>
    <w:link w:val="PiedepginaCar"/>
    <w:uiPriority w:val="99"/>
    <w:unhideWhenUsed/>
    <w:rsid w:val="00254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4E85"/>
  </w:style>
  <w:style w:type="character" w:styleId="Hipervnculo">
    <w:name w:val="Hyperlink"/>
    <w:basedOn w:val="Fuentedeprrafopredeter"/>
    <w:uiPriority w:val="99"/>
    <w:unhideWhenUsed/>
    <w:rsid w:val="005B6108"/>
    <w:rPr>
      <w:color w:val="467886" w:themeColor="hyperlink"/>
      <w:u w:val="single"/>
    </w:rPr>
  </w:style>
  <w:style w:type="character" w:styleId="Mencinsinresolver">
    <w:name w:val="Unresolved Mention"/>
    <w:basedOn w:val="Fuentedeprrafopredeter"/>
    <w:uiPriority w:val="99"/>
    <w:semiHidden/>
    <w:unhideWhenUsed/>
    <w:rsid w:val="005B6108"/>
    <w:rPr>
      <w:color w:val="605E5C"/>
      <w:shd w:val="clear" w:color="auto" w:fill="E1DFDD"/>
    </w:rPr>
  </w:style>
  <w:style w:type="character" w:styleId="Hipervnculovisitado">
    <w:name w:val="FollowedHyperlink"/>
    <w:basedOn w:val="Fuentedeprrafopredeter"/>
    <w:uiPriority w:val="99"/>
    <w:semiHidden/>
    <w:unhideWhenUsed/>
    <w:rsid w:val="00E536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prosg43604628.sharepoint.com/:f:/t/rsc/IgCEs63Fun9rSYc8lpHMlrlpAfKQxHojKV7oyXI05AXJ9Ns?e=5eIAD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324c28-62c4-47b0-bc50-340d2645302a">
      <Terms xmlns="http://schemas.microsoft.com/office/infopath/2007/PartnerControls"/>
    </lcf76f155ced4ddcb4097134ff3c332f>
    <TaxCatchAll xmlns="32d4d55a-5305-4d1a-9849-3761b56438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5036591E8F14E44B951ACBC028B21AB" ma:contentTypeVersion="16" ma:contentTypeDescription="Crear nuevo documento." ma:contentTypeScope="" ma:versionID="7d46cda9609bda81b3f1cf188e2befab">
  <xsd:schema xmlns:xsd="http://www.w3.org/2001/XMLSchema" xmlns:xs="http://www.w3.org/2001/XMLSchema" xmlns:p="http://schemas.microsoft.com/office/2006/metadata/properties" xmlns:ns2="32d4d55a-5305-4d1a-9849-3761b5643805" xmlns:ns3="71324c28-62c4-47b0-bc50-340d2645302a" targetNamespace="http://schemas.microsoft.com/office/2006/metadata/properties" ma:root="true" ma:fieldsID="57351f75ab0a726878a5778d4cff63f4" ns2:_="" ns3:_="">
    <xsd:import namespace="32d4d55a-5305-4d1a-9849-3761b5643805"/>
    <xsd:import namespace="71324c28-62c4-47b0-bc50-340d264530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4d55a-5305-4d1a-9849-3761b564380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120653e8-63f5-4286-8fa5-dcb8a0f88c70}" ma:internalName="TaxCatchAll" ma:showField="CatchAllData" ma:web="32d4d55a-5305-4d1a-9849-3761b56438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324c28-62c4-47b0-bc50-340d264530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5b00c35-c80d-4084-a9ca-bd06feca21c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D3C53-FF4C-41C8-B4B8-23515DFEE274}">
  <ds:schemaRefs>
    <ds:schemaRef ds:uri="http://schemas.microsoft.com/office/2006/metadata/properties"/>
    <ds:schemaRef ds:uri="http://schemas.microsoft.com/office/infopath/2007/PartnerControls"/>
    <ds:schemaRef ds:uri="71324c28-62c4-47b0-bc50-340d2645302a"/>
    <ds:schemaRef ds:uri="32d4d55a-5305-4d1a-9849-3761b5643805"/>
  </ds:schemaRefs>
</ds:datastoreItem>
</file>

<file path=customXml/itemProps2.xml><?xml version="1.0" encoding="utf-8"?>
<ds:datastoreItem xmlns:ds="http://schemas.openxmlformats.org/officeDocument/2006/customXml" ds:itemID="{56F8780A-1E3C-47D4-80A6-34A9AE368959}">
  <ds:schemaRefs>
    <ds:schemaRef ds:uri="http://schemas.microsoft.com/sharepoint/v3/contenttype/forms"/>
  </ds:schemaRefs>
</ds:datastoreItem>
</file>

<file path=customXml/itemProps3.xml><?xml version="1.0" encoding="utf-8"?>
<ds:datastoreItem xmlns:ds="http://schemas.openxmlformats.org/officeDocument/2006/customXml" ds:itemID="{7D6245AE-87FD-4BBC-8796-E9E81AA1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4d55a-5305-4d1a-9849-3761b5643805"/>
    <ds:schemaRef ds:uri="71324c28-62c4-47b0-bc50-340d26453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3078</Words>
  <Characters>16935</Characters>
  <Application>Microsoft Office Word</Application>
  <DocSecurity>0</DocSecurity>
  <Lines>141</Lines>
  <Paragraphs>39</Paragraphs>
  <ScaleCrop>false</ScaleCrop>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Del Río</dc:creator>
  <cp:keywords/>
  <dc:description/>
  <cp:lastModifiedBy>Lourdes Mora</cp:lastModifiedBy>
  <cp:revision>29</cp:revision>
  <cp:lastPrinted>2026-07-06T10:51:00Z</cp:lastPrinted>
  <dcterms:created xsi:type="dcterms:W3CDTF">2026-07-01T11:31:00Z</dcterms:created>
  <dcterms:modified xsi:type="dcterms:W3CDTF">2026-07-06T10:52:00Z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0x010100B5036591E8F14E44B951ACBC028B21AB</vt:lpwstr>
  </property>
  <property fmtid="{D5CDD505-2E9C-101B-9397-08002B2CF9AE}" pid="3" name="MediaServiceImageTags">
    <vt:lpwstr/>
  </property>
</Properties>
</file>